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color w:val="auto"/>
          <w:sz w:val="32"/>
          <w:szCs w:val="32"/>
          <w:lang w:val="zh-TW" w:eastAsia="zh-TW"/>
        </w:rPr>
      </w:pPr>
      <w:r>
        <w:rPr>
          <w:rFonts w:hint="eastAsia" w:ascii="黑体" w:hAnsi="黑体" w:eastAsia="黑体" w:cs="黑体"/>
          <w:color w:val="auto"/>
          <w:sz w:val="32"/>
          <w:szCs w:val="32"/>
          <w:lang w:val="zh-TW"/>
        </w:rPr>
        <w:t>广西医科大学</w:t>
      </w:r>
      <w:r>
        <w:rPr>
          <w:rFonts w:hint="eastAsia" w:ascii="Times New Roman" w:hAnsi="Times New Roman" w:eastAsia="黑体"/>
          <w:color w:val="auto"/>
          <w:sz w:val="32"/>
          <w:szCs w:val="32"/>
        </w:rPr>
        <w:t>2023</w:t>
      </w:r>
      <w:r>
        <w:rPr>
          <w:rFonts w:ascii="黑体" w:hAnsi="黑体" w:eastAsia="黑体" w:cs="黑体"/>
          <w:color w:val="auto"/>
          <w:sz w:val="32"/>
          <w:szCs w:val="32"/>
          <w:lang w:val="zh-TW" w:eastAsia="zh-TW"/>
        </w:rPr>
        <w:t>年</w:t>
      </w:r>
      <w:r>
        <w:rPr>
          <w:rFonts w:hint="eastAsia" w:ascii="黑体" w:hAnsi="黑体" w:eastAsia="黑体" w:cs="黑体"/>
          <w:color w:val="auto"/>
          <w:sz w:val="32"/>
          <w:szCs w:val="32"/>
          <w:lang w:val="en-US" w:eastAsia="zh-CN"/>
        </w:rPr>
        <w:t>药学中</w:t>
      </w:r>
      <w:r>
        <w:rPr>
          <w:rFonts w:ascii="黑体" w:hAnsi="黑体" w:eastAsia="黑体" w:cs="黑体"/>
          <w:color w:val="auto"/>
          <w:sz w:val="32"/>
          <w:szCs w:val="32"/>
          <w:lang w:val="zh-TW" w:eastAsia="zh-TW"/>
        </w:rPr>
        <w:t>澳学分互认联合培养项目</w:t>
      </w:r>
    </w:p>
    <w:p>
      <w:pPr>
        <w:spacing w:after="156" w:line="360" w:lineRule="auto"/>
        <w:jc w:val="center"/>
        <w:rPr>
          <w:rFonts w:ascii="Times New Roman" w:hAnsi="Times New Roman" w:eastAsia="Times New Roman" w:cs="Times New Roman"/>
          <w:color w:val="auto"/>
          <w:sz w:val="32"/>
          <w:szCs w:val="32"/>
          <w:lang w:val="zh-TW" w:eastAsia="zh-TW"/>
        </w:rPr>
      </w:pPr>
      <w:r>
        <w:rPr>
          <w:rFonts w:hint="eastAsia" w:ascii="黑体" w:hAnsi="黑体" w:eastAsia="黑体" w:cs="黑体"/>
          <w:color w:val="auto"/>
          <w:sz w:val="32"/>
          <w:szCs w:val="32"/>
          <w:lang w:eastAsia="zh-Hans"/>
        </w:rPr>
        <w:t>报考说明</w:t>
      </w:r>
    </w:p>
    <w:p>
      <w:pPr>
        <w:pStyle w:val="4"/>
        <w:spacing w:before="312" w:after="0" w:line="360" w:lineRule="auto"/>
        <w:ind w:firstLine="562" w:firstLineChars="200"/>
        <w:rPr>
          <w:rFonts w:ascii="Times New Roman" w:hAnsi="Times New Roman" w:cs="Times New Roman"/>
          <w:color w:val="auto"/>
          <w:sz w:val="28"/>
          <w:szCs w:val="28"/>
          <w:highlight w:val="yellow"/>
        </w:rPr>
      </w:pPr>
      <w:r>
        <w:rPr>
          <w:color w:val="auto"/>
          <w:sz w:val="28"/>
          <w:szCs w:val="28"/>
          <w:lang w:val="zh-TW" w:eastAsia="zh-TW"/>
        </w:rPr>
        <w:t>一、项目简介</w:t>
      </w:r>
    </w:p>
    <w:p>
      <w:pPr>
        <w:pStyle w:val="10"/>
        <w:widowControl/>
        <w:shd w:val="clear" w:color="auto" w:fill="FFFFFF"/>
        <w:spacing w:before="0" w:after="0" w:line="360" w:lineRule="auto"/>
        <w:ind w:firstLine="601"/>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我校“中外高水平大学学生交流计划”中澳学分互认联合培养项目，</w:t>
      </w:r>
      <w:r>
        <w:rPr>
          <w:rFonts w:hint="eastAsia" w:ascii="仿宋" w:hAnsi="仿宋" w:eastAsia="仿宋" w:cs="仿宋"/>
          <w:color w:val="auto"/>
          <w:sz w:val="28"/>
          <w:szCs w:val="28"/>
          <w:lang w:val="en-US" w:eastAsia="zh-CN"/>
        </w:rPr>
        <w:t>是由</w:t>
      </w:r>
      <w:r>
        <w:rPr>
          <w:rFonts w:hint="eastAsia" w:ascii="仿宋" w:hAnsi="仿宋" w:eastAsia="仿宋" w:cs="仿宋"/>
          <w:color w:val="auto"/>
          <w:sz w:val="28"/>
          <w:szCs w:val="28"/>
          <w:lang w:val="zh-TW" w:eastAsia="zh-TW"/>
        </w:rPr>
        <w:t>教育部中外人文交流中心及澳大利亚高等教育联盟、北京中教人文国际文化交流有限公司等机构组织，联合世界QS排名前300（或专业学科排名前100）的国外知名大学发起的学生交流项目。</w:t>
      </w:r>
    </w:p>
    <w:p>
      <w:pPr>
        <w:pStyle w:val="10"/>
        <w:widowControl/>
        <w:shd w:val="clear" w:color="auto" w:fill="FFFFFF"/>
        <w:spacing w:before="0" w:after="0" w:line="360" w:lineRule="auto"/>
        <w:ind w:firstLine="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我校药学专业与澳大利亚麦考瑞大学药物化学专业合作开展</w:t>
      </w:r>
      <w:r>
        <w:rPr>
          <w:rFonts w:hint="eastAsia" w:ascii="仿宋" w:hAnsi="仿宋" w:eastAsia="仿宋" w:cs="仿宋"/>
          <w:color w:val="auto"/>
          <w:sz w:val="28"/>
          <w:szCs w:val="28"/>
          <w:lang w:val="en-US" w:eastAsia="zh-CN"/>
        </w:rPr>
        <w:t>2023中澳学分互认联合培养项目。</w:t>
      </w:r>
    </w:p>
    <w:p>
      <w:pPr>
        <w:pStyle w:val="10"/>
        <w:widowControl/>
        <w:shd w:val="clear" w:color="auto" w:fill="FFFFFF"/>
        <w:spacing w:before="0" w:after="0" w:line="360" w:lineRule="auto"/>
        <w:ind w:firstLine="560" w:firstLineChars="200"/>
        <w:rPr>
          <w:rFonts w:ascii="仿宋" w:hAnsi="仿宋" w:eastAsia="仿宋" w:cs="仿宋"/>
          <w:color w:val="auto"/>
          <w:sz w:val="28"/>
          <w:szCs w:val="28"/>
          <w:lang w:val="zh-TW" w:eastAsia="zh-TW"/>
        </w:rPr>
      </w:pPr>
      <w:r>
        <w:rPr>
          <w:rFonts w:hint="eastAsia" w:ascii="仿宋" w:hAnsi="仿宋" w:eastAsia="仿宋" w:cs="仿宋"/>
          <w:color w:val="auto"/>
          <w:sz w:val="28"/>
          <w:szCs w:val="28"/>
        </w:rPr>
        <w:t>项目学制四年，采取“2+2”分段联合培养模式，学生第一、二学年在我校学习，第三、四学年赴澳方高校学习，通过学分互认的方式，在规定修业年限内完成中澳双方联合制定的培养方案，成绩合格，达到毕业及学位授予要求者，可同时获得我校和澳方合作高校颁发的学士学位证书以及我校颁发的本科毕业证书。</w:t>
      </w:r>
    </w:p>
    <w:p>
      <w:pPr>
        <w:pStyle w:val="4"/>
        <w:spacing w:before="312" w:after="0" w:line="360" w:lineRule="auto"/>
        <w:ind w:firstLine="562" w:firstLineChars="200"/>
        <w:rPr>
          <w:rFonts w:ascii="Times New Roman" w:hAnsi="Times New Roman" w:cs="Times New Roman"/>
          <w:color w:val="auto"/>
          <w:sz w:val="28"/>
          <w:szCs w:val="28"/>
        </w:rPr>
      </w:pPr>
      <w:r>
        <w:rPr>
          <w:color w:val="auto"/>
          <w:sz w:val="28"/>
          <w:szCs w:val="28"/>
          <w:lang w:val="zh-TW" w:eastAsia="zh-TW"/>
        </w:rPr>
        <w:t>二、项目优势</w:t>
      </w:r>
      <w:r>
        <w:rPr>
          <w:rFonts w:hint="eastAsia"/>
          <w:color w:val="auto"/>
          <w:sz w:val="28"/>
          <w:szCs w:val="28"/>
        </w:rPr>
        <w:t xml:space="preserve"> </w:t>
      </w:r>
    </w:p>
    <w:p>
      <w:pPr>
        <w:spacing w:line="360" w:lineRule="auto"/>
        <w:ind w:firstLine="562"/>
        <w:rPr>
          <w:rFonts w:ascii="Times New Roman" w:hAnsi="Times New Roman" w:eastAsia="Times New Roman" w:cs="Times New Roman"/>
          <w:color w:val="auto"/>
          <w:sz w:val="28"/>
          <w:szCs w:val="28"/>
        </w:rPr>
      </w:pPr>
      <w:r>
        <w:rPr>
          <w:rFonts w:hint="eastAsia" w:ascii="仿宋" w:hAnsi="仿宋" w:eastAsia="仿宋" w:cs="仿宋"/>
          <w:b/>
          <w:bCs/>
          <w:color w:val="auto"/>
          <w:sz w:val="28"/>
          <w:szCs w:val="28"/>
          <w:lang w:val="zh-TW"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TW" w:eastAsia="zh-CN"/>
        </w:rPr>
        <w:t>）</w:t>
      </w:r>
      <w:r>
        <w:rPr>
          <w:rFonts w:ascii="仿宋" w:hAnsi="仿宋" w:eastAsia="仿宋" w:cs="仿宋"/>
          <w:b/>
          <w:bCs/>
          <w:color w:val="auto"/>
          <w:sz w:val="28"/>
          <w:szCs w:val="28"/>
          <w:lang w:val="zh-TW" w:eastAsia="zh-TW"/>
        </w:rPr>
        <w:t>世界名校合作，文凭含金量高。</w:t>
      </w:r>
      <w:r>
        <w:rPr>
          <w:rFonts w:hint="eastAsia" w:ascii="仿宋" w:hAnsi="仿宋" w:eastAsia="仿宋" w:cs="仿宋"/>
          <w:color w:val="auto"/>
          <w:sz w:val="28"/>
          <w:szCs w:val="28"/>
        </w:rPr>
        <w:t>外</w:t>
      </w:r>
      <w:r>
        <w:rPr>
          <w:rFonts w:hint="eastAsia" w:ascii="仿宋" w:hAnsi="仿宋" w:eastAsia="仿宋" w:cs="仿宋"/>
          <w:color w:val="auto"/>
          <w:sz w:val="28"/>
          <w:szCs w:val="28"/>
          <w:lang w:val="zh-TW"/>
        </w:rPr>
        <w:t>方</w:t>
      </w:r>
      <w:r>
        <w:rPr>
          <w:rFonts w:ascii="仿宋" w:hAnsi="仿宋" w:eastAsia="仿宋" w:cs="仿宋"/>
          <w:color w:val="auto"/>
          <w:sz w:val="28"/>
          <w:szCs w:val="28"/>
          <w:lang w:val="zh-TW" w:eastAsia="zh-TW"/>
        </w:rPr>
        <w:t>合作院校均为世界排名前</w:t>
      </w:r>
      <w:r>
        <w:rPr>
          <w:rFonts w:ascii="Times New Roman" w:hAnsi="Times New Roman"/>
          <w:color w:val="auto"/>
          <w:sz w:val="28"/>
          <w:szCs w:val="28"/>
        </w:rPr>
        <w:t>300</w:t>
      </w:r>
      <w:r>
        <w:rPr>
          <w:rFonts w:ascii="仿宋" w:hAnsi="仿宋" w:eastAsia="仿宋" w:cs="仿宋"/>
          <w:color w:val="auto"/>
          <w:sz w:val="28"/>
          <w:szCs w:val="28"/>
          <w:lang w:val="zh-TW" w:eastAsia="zh-TW"/>
        </w:rPr>
        <w:t>或者专业排名前</w:t>
      </w:r>
      <w:r>
        <w:rPr>
          <w:rFonts w:ascii="Times New Roman" w:hAnsi="Times New Roman"/>
          <w:color w:val="auto"/>
          <w:sz w:val="28"/>
          <w:szCs w:val="28"/>
        </w:rPr>
        <w:t>100</w:t>
      </w:r>
      <w:r>
        <w:rPr>
          <w:rFonts w:ascii="仿宋" w:hAnsi="仿宋" w:eastAsia="仿宋" w:cs="仿宋"/>
          <w:color w:val="auto"/>
          <w:sz w:val="28"/>
          <w:szCs w:val="28"/>
          <w:lang w:val="zh-TW" w:eastAsia="zh-TW"/>
        </w:rPr>
        <w:t>的世界高水平大学。</w:t>
      </w:r>
    </w:p>
    <w:p>
      <w:pPr>
        <w:spacing w:line="360" w:lineRule="auto"/>
        <w:ind w:firstLine="562"/>
        <w:rPr>
          <w:rFonts w:ascii="Times New Roman" w:hAnsi="Times New Roman" w:eastAsia="Times New Roman" w:cs="Times New Roman"/>
          <w:color w:val="auto"/>
          <w:sz w:val="28"/>
          <w:szCs w:val="28"/>
        </w:rPr>
      </w:pPr>
      <w:r>
        <w:rPr>
          <w:rFonts w:hint="eastAsia" w:ascii="仿宋" w:hAnsi="仿宋" w:eastAsia="仿宋" w:cs="仿宋"/>
          <w:b/>
          <w:bCs/>
          <w:color w:val="auto"/>
          <w:sz w:val="28"/>
          <w:szCs w:val="28"/>
          <w:lang w:val="zh-TW"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TW" w:eastAsia="zh-CN"/>
        </w:rPr>
        <w:t>）</w:t>
      </w:r>
      <w:r>
        <w:rPr>
          <w:rFonts w:ascii="仿宋" w:hAnsi="仿宋" w:eastAsia="仿宋" w:cs="仿宋"/>
          <w:b/>
          <w:bCs/>
          <w:color w:val="auto"/>
          <w:sz w:val="28"/>
          <w:szCs w:val="28"/>
          <w:lang w:val="zh-TW" w:eastAsia="zh-TW"/>
        </w:rPr>
        <w:t>性价比高，费用经济。</w:t>
      </w:r>
      <w:r>
        <w:rPr>
          <w:rFonts w:ascii="仿宋" w:hAnsi="仿宋" w:eastAsia="仿宋" w:cs="仿宋"/>
          <w:color w:val="auto"/>
          <w:sz w:val="28"/>
          <w:szCs w:val="28"/>
          <w:lang w:val="zh-TW" w:eastAsia="zh-TW"/>
        </w:rPr>
        <w:t>通过</w:t>
      </w:r>
      <w:r>
        <w:rPr>
          <w:rFonts w:hint="eastAsia" w:ascii="仿宋" w:hAnsi="仿宋" w:eastAsia="仿宋" w:cs="仿宋"/>
          <w:color w:val="auto"/>
          <w:sz w:val="28"/>
          <w:szCs w:val="28"/>
        </w:rPr>
        <w:t>“2+2”</w:t>
      </w:r>
      <w:r>
        <w:rPr>
          <w:rFonts w:ascii="仿宋" w:hAnsi="仿宋" w:eastAsia="仿宋" w:cs="仿宋"/>
          <w:color w:val="auto"/>
          <w:sz w:val="28"/>
          <w:szCs w:val="28"/>
          <w:lang w:val="zh-TW" w:eastAsia="zh-TW"/>
        </w:rPr>
        <w:t>联合培养的模式，为学生提升了留学层次、提供了充分的留学准备，节约了留学成本。</w:t>
      </w:r>
    </w:p>
    <w:p>
      <w:pPr>
        <w:spacing w:line="360" w:lineRule="auto"/>
        <w:ind w:firstLine="562"/>
        <w:rPr>
          <w:rFonts w:ascii="Times New Roman" w:hAnsi="Times New Roman" w:eastAsia="Times New Roman" w:cs="Times New Roman"/>
          <w:color w:val="auto"/>
          <w:sz w:val="28"/>
          <w:szCs w:val="28"/>
          <w:lang w:val="zh-TW" w:eastAsia="zh-TW"/>
        </w:rPr>
      </w:pPr>
      <w:r>
        <w:rPr>
          <w:rFonts w:hint="eastAsia" w:ascii="仿宋" w:hAnsi="仿宋" w:eastAsia="仿宋" w:cs="仿宋"/>
          <w:b/>
          <w:bCs/>
          <w:color w:val="auto"/>
          <w:sz w:val="28"/>
          <w:szCs w:val="28"/>
          <w:lang w:val="zh-TW" w:eastAsia="zh-CN"/>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TW" w:eastAsia="zh-CN"/>
        </w:rPr>
        <w:t>）</w:t>
      </w:r>
      <w:r>
        <w:rPr>
          <w:rFonts w:ascii="仿宋" w:hAnsi="仿宋" w:eastAsia="仿宋" w:cs="仿宋"/>
          <w:b/>
          <w:bCs/>
          <w:color w:val="auto"/>
          <w:sz w:val="28"/>
          <w:szCs w:val="28"/>
          <w:lang w:val="zh-TW" w:eastAsia="zh-TW"/>
        </w:rPr>
        <w:t>安全、快捷的留学直通车。</w:t>
      </w:r>
      <w:r>
        <w:rPr>
          <w:rFonts w:ascii="仿宋" w:hAnsi="仿宋" w:eastAsia="仿宋" w:cs="仿宋"/>
          <w:color w:val="auto"/>
          <w:sz w:val="28"/>
          <w:szCs w:val="28"/>
          <w:lang w:val="zh-TW" w:eastAsia="zh-TW"/>
        </w:rPr>
        <w:t>项目合作方除提供境内服务外，还将全程负责学生在境外接机、住宿、学籍注册、境外学习和生活指导等后续管理与服务，为项目提供了安全保障，解决了家长的后顾之忧，被誉为安全、快捷、经济的留学直通车。</w:t>
      </w:r>
    </w:p>
    <w:p>
      <w:pPr>
        <w:spacing w:line="360" w:lineRule="auto"/>
        <w:ind w:firstLine="562"/>
        <w:rPr>
          <w:rFonts w:ascii="仿宋" w:hAnsi="仿宋" w:eastAsia="仿宋" w:cs="仿宋"/>
          <w:color w:val="auto"/>
          <w:sz w:val="28"/>
          <w:szCs w:val="28"/>
          <w:lang w:val="zh-TW" w:eastAsia="zh-TW"/>
        </w:rPr>
      </w:pPr>
      <w:r>
        <w:rPr>
          <w:rFonts w:hint="eastAsia" w:ascii="仿宋" w:hAnsi="仿宋" w:eastAsia="仿宋" w:cs="仿宋"/>
          <w:b/>
          <w:bCs/>
          <w:color w:val="auto"/>
          <w:sz w:val="28"/>
          <w:szCs w:val="28"/>
          <w:lang w:val="zh-TW" w:eastAsia="zh-CN"/>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TW" w:eastAsia="zh-CN"/>
        </w:rPr>
        <w:t>）</w:t>
      </w:r>
      <w:r>
        <w:rPr>
          <w:rFonts w:ascii="仿宋" w:hAnsi="仿宋" w:eastAsia="仿宋" w:cs="仿宋"/>
          <w:b/>
          <w:bCs/>
          <w:color w:val="auto"/>
          <w:sz w:val="28"/>
          <w:szCs w:val="28"/>
          <w:lang w:val="zh-TW" w:eastAsia="zh-TW"/>
        </w:rPr>
        <w:t>双学位、学分互认、学历认证无缝对接。</w:t>
      </w:r>
      <w:r>
        <w:rPr>
          <w:rFonts w:ascii="仿宋" w:hAnsi="仿宋" w:eastAsia="仿宋" w:cs="仿宋"/>
          <w:color w:val="auto"/>
          <w:sz w:val="28"/>
          <w:szCs w:val="28"/>
          <w:lang w:val="zh-TW" w:eastAsia="zh-TW"/>
        </w:rPr>
        <w:t>完成学业的学生将获得中外高校颁发的双学士学位，学生可继续在</w:t>
      </w:r>
      <w:r>
        <w:rPr>
          <w:rFonts w:hint="eastAsia" w:ascii="仿宋" w:hAnsi="仿宋" w:eastAsia="仿宋" w:cs="仿宋"/>
          <w:color w:val="auto"/>
          <w:sz w:val="28"/>
          <w:szCs w:val="28"/>
        </w:rPr>
        <w:t>外</w:t>
      </w:r>
      <w:r>
        <w:rPr>
          <w:rFonts w:hint="eastAsia" w:ascii="仿宋" w:hAnsi="仿宋" w:eastAsia="仿宋" w:cs="仿宋"/>
          <w:color w:val="auto"/>
          <w:sz w:val="28"/>
          <w:szCs w:val="28"/>
          <w:lang w:val="zh-TW"/>
        </w:rPr>
        <w:t>方</w:t>
      </w:r>
      <w:r>
        <w:rPr>
          <w:rFonts w:ascii="仿宋" w:hAnsi="仿宋" w:eastAsia="仿宋" w:cs="仿宋"/>
          <w:color w:val="auto"/>
          <w:sz w:val="28"/>
          <w:szCs w:val="28"/>
          <w:lang w:val="zh-TW" w:eastAsia="zh-TW"/>
        </w:rPr>
        <w:t>深造硕士。</w:t>
      </w:r>
      <w:r>
        <w:rPr>
          <w:rFonts w:hint="eastAsia" w:ascii="仿宋" w:hAnsi="仿宋" w:eastAsia="仿宋" w:cs="仿宋"/>
          <w:color w:val="auto"/>
          <w:sz w:val="28"/>
          <w:szCs w:val="28"/>
        </w:rPr>
        <w:t>外</w:t>
      </w:r>
      <w:r>
        <w:rPr>
          <w:rFonts w:hint="eastAsia" w:ascii="仿宋" w:hAnsi="仿宋" w:eastAsia="仿宋" w:cs="仿宋"/>
          <w:color w:val="auto"/>
          <w:sz w:val="28"/>
          <w:szCs w:val="28"/>
          <w:lang w:val="zh-TW"/>
        </w:rPr>
        <w:t>方</w:t>
      </w:r>
      <w:r>
        <w:rPr>
          <w:rFonts w:ascii="仿宋" w:hAnsi="仿宋" w:eastAsia="仿宋" w:cs="仿宋"/>
          <w:color w:val="auto"/>
          <w:sz w:val="28"/>
          <w:szCs w:val="28"/>
          <w:lang w:val="zh-TW" w:eastAsia="zh-TW"/>
        </w:rPr>
        <w:t>高校资质获得教育部认可，学位可向教育部留学服务中心申请认证。</w:t>
      </w:r>
    </w:p>
    <w:p>
      <w:pPr>
        <w:pStyle w:val="2"/>
        <w:spacing w:before="312" w:line="360" w:lineRule="auto"/>
        <w:ind w:firstLine="562" w:firstLineChars="200"/>
        <w:rPr>
          <w:rFonts w:hint="eastAsia" w:ascii="黑体" w:hAnsi="黑体" w:eastAsia="黑体" w:cs="黑体"/>
          <w:b/>
          <w:bCs/>
          <w:color w:val="auto"/>
          <w:kern w:val="28"/>
          <w:sz w:val="28"/>
          <w:szCs w:val="28"/>
        </w:rPr>
      </w:pPr>
      <w:r>
        <w:rPr>
          <w:rFonts w:hint="eastAsia" w:ascii="黑体" w:hAnsi="黑体" w:eastAsia="黑体" w:cs="黑体"/>
          <w:b/>
          <w:bCs/>
          <w:color w:val="auto"/>
          <w:kern w:val="28"/>
          <w:sz w:val="28"/>
          <w:szCs w:val="28"/>
        </w:rPr>
        <w:t>三、中方院校</w:t>
      </w:r>
      <w:r>
        <w:rPr>
          <w:rFonts w:hint="eastAsia" w:ascii="黑体" w:hAnsi="黑体" w:eastAsia="黑体" w:cs="黑体"/>
          <w:b/>
          <w:bCs/>
          <w:color w:val="auto"/>
          <w:kern w:val="28"/>
          <w:sz w:val="28"/>
          <w:szCs w:val="28"/>
          <w:lang w:eastAsia="zh-CN"/>
        </w:rPr>
        <w:t>、</w:t>
      </w:r>
      <w:r>
        <w:rPr>
          <w:rFonts w:hint="eastAsia" w:ascii="黑体" w:hAnsi="黑体" w:eastAsia="黑体" w:cs="黑体"/>
          <w:b/>
          <w:bCs/>
          <w:color w:val="auto"/>
          <w:kern w:val="28"/>
          <w:sz w:val="28"/>
          <w:szCs w:val="28"/>
        </w:rPr>
        <w:t xml:space="preserve">专业简介 </w:t>
      </w:r>
    </w:p>
    <w:p>
      <w:pPr>
        <w:pStyle w:val="2"/>
        <w:spacing w:before="0" w:line="360" w:lineRule="auto"/>
        <w:ind w:firstLine="560" w:firstLineChars="200"/>
        <w:rPr>
          <w:rFonts w:hint="default" w:ascii="Times New Roman" w:hAnsi="Times New Roman" w:eastAsia="仿宋" w:cs="Times New Roman"/>
          <w:b w:val="0"/>
          <w:bCs w:val="0"/>
          <w:color w:val="auto"/>
          <w:kern w:val="28"/>
          <w:sz w:val="28"/>
          <w:szCs w:val="28"/>
          <w:highlight w:val="none"/>
        </w:rPr>
      </w:pPr>
      <w:r>
        <w:rPr>
          <w:rFonts w:hint="default" w:eastAsia="仿宋"/>
          <w:b w:val="0"/>
          <w:bCs w:val="0"/>
          <w:color w:val="auto"/>
          <w:kern w:val="28"/>
          <w:sz w:val="28"/>
          <w:szCs w:val="28"/>
          <w:highlight w:val="none"/>
        </w:rPr>
        <w:t>广西医科大学位于广西省首府南宁市，创建于1934年，是全国建校较早的22所医学院校之一，是全国最早定点招收外国留学生、港澳台学生和华侨学生的8所医学院校之一，是广西“十四五”规划重点支持建设国内同类一流大学的高校，是广西医学教育、医学研究、临床医疗和预防保健的中心，是广西壮族自治区人民政府与国家卫生健康委共建高等医学院校。广西医科大学药学本科专业（理学学士）开设于2000年，隶属于药学院</w:t>
      </w:r>
      <w:r>
        <w:rPr>
          <w:rFonts w:hint="eastAsia" w:eastAsia="仿宋" w:cs="Times New Roman"/>
          <w:b w:val="0"/>
          <w:bCs w:val="0"/>
          <w:color w:val="auto"/>
          <w:kern w:val="28"/>
          <w:sz w:val="28"/>
          <w:szCs w:val="28"/>
          <w:highlight w:val="none"/>
          <w:lang w:eastAsia="zh-CN"/>
        </w:rPr>
        <w:t>，</w:t>
      </w:r>
      <w:r>
        <w:rPr>
          <w:rFonts w:hint="default" w:eastAsia="仿宋"/>
          <w:b w:val="0"/>
          <w:bCs w:val="0"/>
          <w:color w:val="auto"/>
          <w:kern w:val="28"/>
          <w:sz w:val="28"/>
          <w:szCs w:val="28"/>
          <w:highlight w:val="none"/>
        </w:rPr>
        <w:t>专业为国家高校特色专业建设点，2019年获得首批国家级一流本科专业建设点，2022年度通过教育部药学专业认证。拥有药学一级学科博士点、药学博士后科研流动站，入选广西一流学科A类；药理学与毒理学学科进入ESI全球前1%。毕业生能够在科研院所、药品生产企业、药品经营企业、医疗机构、药品监督管理机构等部门从事药物研发、生产、检验、流通、药学服务和药事管理等方面的工作。</w:t>
      </w:r>
    </w:p>
    <w:p>
      <w:pPr>
        <w:pStyle w:val="4"/>
        <w:spacing w:before="312" w:after="0" w:line="360" w:lineRule="auto"/>
        <w:ind w:firstLine="562" w:firstLineChars="200"/>
        <w:rPr>
          <w:rFonts w:ascii="Times New Roman" w:hAnsi="Times New Roman" w:cs="Times New Roman"/>
          <w:color w:val="auto"/>
          <w:sz w:val="28"/>
          <w:szCs w:val="28"/>
        </w:rPr>
      </w:pPr>
      <w:r>
        <w:rPr>
          <w:rFonts w:hint="eastAsia"/>
          <w:color w:val="auto"/>
          <w:sz w:val="28"/>
          <w:szCs w:val="28"/>
        </w:rPr>
        <w:t>四</w:t>
      </w:r>
      <w:r>
        <w:rPr>
          <w:color w:val="auto"/>
          <w:sz w:val="28"/>
          <w:szCs w:val="28"/>
          <w:lang w:val="zh-TW" w:eastAsia="zh-TW"/>
        </w:rPr>
        <w:t>、</w:t>
      </w:r>
      <w:r>
        <w:rPr>
          <w:rFonts w:hint="eastAsia"/>
          <w:color w:val="auto"/>
          <w:sz w:val="28"/>
          <w:szCs w:val="28"/>
          <w:lang w:val="zh-TW"/>
        </w:rPr>
        <w:t>澳方</w:t>
      </w:r>
      <w:r>
        <w:rPr>
          <w:color w:val="auto"/>
          <w:sz w:val="28"/>
          <w:szCs w:val="28"/>
          <w:lang w:val="zh-TW" w:eastAsia="zh-TW"/>
        </w:rPr>
        <w:t>合作院校</w:t>
      </w:r>
      <w:r>
        <w:rPr>
          <w:rFonts w:hint="eastAsia"/>
          <w:color w:val="auto"/>
          <w:sz w:val="28"/>
          <w:szCs w:val="28"/>
          <w:lang w:val="zh-TW"/>
        </w:rPr>
        <w:t>、</w:t>
      </w:r>
      <w:r>
        <w:rPr>
          <w:rFonts w:hint="eastAsia"/>
          <w:color w:val="auto"/>
          <w:sz w:val="28"/>
          <w:szCs w:val="28"/>
        </w:rPr>
        <w:t>专业</w:t>
      </w:r>
      <w:r>
        <w:rPr>
          <w:color w:val="auto"/>
          <w:sz w:val="28"/>
          <w:szCs w:val="28"/>
          <w:lang w:val="zh-TW" w:eastAsia="zh-TW"/>
        </w:rPr>
        <w:t>简介</w:t>
      </w:r>
      <w:r>
        <w:rPr>
          <w:rFonts w:hint="eastAsia"/>
          <w:color w:val="auto"/>
          <w:sz w:val="28"/>
          <w:szCs w:val="28"/>
        </w:rPr>
        <w:t xml:space="preserve"> </w:t>
      </w:r>
    </w:p>
    <w:p>
      <w:pPr>
        <w:widowControl/>
        <w:numPr>
          <w:ilvl w:val="-1"/>
          <w:numId w:val="0"/>
        </w:numPr>
        <w:spacing w:line="360" w:lineRule="auto"/>
        <w:ind w:firstLine="560" w:firstLineChars="200"/>
        <w:rPr>
          <w:rFonts w:hint="eastAsia" w:ascii="仿宋" w:hAnsi="仿宋" w:eastAsia="仿宋" w:cs="仿宋"/>
          <w:color w:val="auto"/>
          <w:sz w:val="28"/>
          <w:szCs w:val="28"/>
          <w:lang w:val="zh-TW" w:eastAsia="zh-TW"/>
        </w:rPr>
      </w:pPr>
      <w:r>
        <w:rPr>
          <w:rFonts w:ascii="仿宋" w:hAnsi="仿宋" w:eastAsia="仿宋" w:cs="仿宋"/>
          <w:b w:val="0"/>
          <w:bCs w:val="0"/>
          <w:color w:val="auto"/>
          <w:sz w:val="28"/>
          <w:szCs w:val="28"/>
          <w:lang w:val="zh-TW" w:eastAsia="zh-TW"/>
        </w:rPr>
        <w:t>澳大利亚麦考瑞大学（</w:t>
      </w:r>
      <w:r>
        <w:rPr>
          <w:rFonts w:ascii="Times New Roman" w:hAnsi="Times New Roman"/>
          <w:b w:val="0"/>
          <w:bCs w:val="0"/>
          <w:color w:val="auto"/>
          <w:sz w:val="28"/>
          <w:szCs w:val="28"/>
        </w:rPr>
        <w:t>Macquarie University)</w:t>
      </w:r>
      <w:r>
        <w:rPr>
          <w:rFonts w:ascii="仿宋" w:hAnsi="仿宋" w:eastAsia="仿宋" w:cs="仿宋"/>
          <w:color w:val="auto"/>
          <w:sz w:val="28"/>
          <w:szCs w:val="28"/>
          <w:lang w:val="zh-TW" w:eastAsia="zh-TW"/>
        </w:rPr>
        <w:t>建于</w:t>
      </w:r>
      <w:r>
        <w:rPr>
          <w:rFonts w:ascii="Times New Roman" w:hAnsi="Times New Roman"/>
          <w:color w:val="auto"/>
          <w:sz w:val="28"/>
          <w:szCs w:val="28"/>
        </w:rPr>
        <w:t>1964</w:t>
      </w:r>
      <w:r>
        <w:rPr>
          <w:rFonts w:ascii="仿宋" w:hAnsi="仿宋" w:eastAsia="仿宋" w:cs="仿宋"/>
          <w:color w:val="auto"/>
          <w:sz w:val="28"/>
          <w:szCs w:val="28"/>
          <w:lang w:val="zh-TW" w:eastAsia="zh-TW"/>
        </w:rPr>
        <w:t>年，位于澳大利亚新南威尔士州悉尼市，是一所公立研究型大学</w:t>
      </w:r>
      <w:r>
        <w:rPr>
          <w:rFonts w:hint="eastAsia" w:ascii="仿宋" w:hAnsi="仿宋" w:eastAsia="仿宋" w:cs="仿宋"/>
          <w:color w:val="auto"/>
          <w:sz w:val="28"/>
          <w:szCs w:val="28"/>
          <w:lang w:val="zh-TW" w:eastAsia="zh-TW"/>
        </w:rPr>
        <w:t>。</w:t>
      </w:r>
      <w:r>
        <w:rPr>
          <w:rFonts w:ascii="仿宋" w:hAnsi="仿宋" w:eastAsia="仿宋" w:cs="仿宋"/>
          <w:color w:val="auto"/>
          <w:sz w:val="28"/>
          <w:szCs w:val="28"/>
          <w:lang w:val="zh-TW" w:eastAsia="zh-TW"/>
        </w:rPr>
        <w:t>麦考瑞大学在国际上享有盛誉，</w:t>
      </w:r>
      <w:r>
        <w:rPr>
          <w:rFonts w:ascii="Times New Roman" w:hAnsi="Times New Roman"/>
          <w:color w:val="auto"/>
          <w:sz w:val="28"/>
          <w:szCs w:val="28"/>
        </w:rPr>
        <w:t>202</w:t>
      </w:r>
      <w:r>
        <w:rPr>
          <w:rFonts w:hint="eastAsia" w:ascii="Times New Roman" w:hAnsi="Times New Roman"/>
          <w:color w:val="auto"/>
          <w:sz w:val="28"/>
          <w:szCs w:val="28"/>
        </w:rPr>
        <w:t>3</w:t>
      </w:r>
      <w:r>
        <w:rPr>
          <w:rFonts w:ascii="仿宋" w:hAnsi="仿宋" w:eastAsia="仿宋" w:cs="仿宋"/>
          <w:color w:val="auto"/>
          <w:sz w:val="28"/>
          <w:szCs w:val="28"/>
          <w:lang w:val="zh-TW" w:eastAsia="zh-TW"/>
        </w:rPr>
        <w:t>年该校位居U.S. News世界大学排名第</w:t>
      </w:r>
      <w:r>
        <w:rPr>
          <w:rFonts w:hint="eastAsia" w:ascii="仿宋" w:hAnsi="仿宋" w:eastAsia="仿宋" w:cs="仿宋"/>
          <w:color w:val="auto"/>
          <w:sz w:val="28"/>
          <w:szCs w:val="28"/>
        </w:rPr>
        <w:t>192</w:t>
      </w:r>
      <w:r>
        <w:rPr>
          <w:rFonts w:ascii="仿宋" w:hAnsi="仿宋" w:eastAsia="仿宋" w:cs="仿宋"/>
          <w:color w:val="auto"/>
          <w:sz w:val="28"/>
          <w:szCs w:val="28"/>
          <w:lang w:val="zh-TW" w:eastAsia="zh-TW"/>
        </w:rPr>
        <w:t>位，</w:t>
      </w:r>
      <w:r>
        <w:rPr>
          <w:rFonts w:ascii="Times New Roman" w:hAnsi="Times New Roman"/>
          <w:color w:val="auto"/>
          <w:sz w:val="28"/>
          <w:szCs w:val="28"/>
        </w:rPr>
        <w:t>QS</w:t>
      </w:r>
      <w:r>
        <w:rPr>
          <w:rFonts w:ascii="仿宋" w:hAnsi="仿宋" w:eastAsia="仿宋" w:cs="仿宋"/>
          <w:color w:val="auto"/>
          <w:sz w:val="28"/>
          <w:szCs w:val="28"/>
          <w:lang w:val="zh-TW" w:eastAsia="zh-TW"/>
        </w:rPr>
        <w:t>世界大学排名第</w:t>
      </w:r>
      <w:r>
        <w:rPr>
          <w:rFonts w:hint="eastAsia" w:ascii="仿宋" w:hAnsi="仿宋" w:eastAsia="仿宋" w:cs="仿宋"/>
          <w:color w:val="auto"/>
          <w:sz w:val="28"/>
          <w:szCs w:val="28"/>
        </w:rPr>
        <w:t>195</w:t>
      </w:r>
      <w:r>
        <w:rPr>
          <w:rFonts w:ascii="仿宋" w:hAnsi="仿宋" w:eastAsia="仿宋" w:cs="仿宋"/>
          <w:color w:val="auto"/>
          <w:sz w:val="28"/>
          <w:szCs w:val="28"/>
          <w:lang w:val="zh-TW" w:eastAsia="zh-TW"/>
        </w:rPr>
        <w:t>位，</w:t>
      </w:r>
      <w:r>
        <w:rPr>
          <w:rFonts w:hint="eastAsia" w:ascii="仿宋" w:hAnsi="仿宋" w:eastAsia="仿宋" w:cs="仿宋"/>
          <w:color w:val="auto"/>
          <w:sz w:val="28"/>
          <w:szCs w:val="28"/>
        </w:rPr>
        <w:t>稳居QS全球前1%高校行列</w:t>
      </w:r>
      <w:r>
        <w:rPr>
          <w:rFonts w:ascii="仿宋" w:hAnsi="仿宋" w:eastAsia="仿宋" w:cs="仿宋"/>
          <w:color w:val="auto"/>
          <w:sz w:val="28"/>
          <w:szCs w:val="28"/>
          <w:lang w:val="zh-TW" w:eastAsia="zh-TW"/>
        </w:rPr>
        <w:t>。</w:t>
      </w:r>
      <w:r>
        <w:rPr>
          <w:rFonts w:hint="eastAsia" w:ascii="仿宋" w:hAnsi="仿宋" w:eastAsia="仿宋" w:cs="仿宋"/>
          <w:color w:val="auto"/>
          <w:sz w:val="28"/>
          <w:szCs w:val="28"/>
          <w:lang w:val="zh-TW" w:eastAsia="zh-TW"/>
        </w:rPr>
        <w:t>麦考瑞大学药物化学专业（Bachelor of Medical Sciences, with a major in Medicinal Chemistry）隶属于科学与工程学院，是医疗科学五大主修方向之一。药物化学是将分子科学用于发现、设计和合成新药的学科，与医疗保健领域联系紧密，相关毕业生可从事创建和开发新的化学技术、新型疫苗的研发、新药物的研发等工作。此外，在法律、政策、国防、公共卫生和环境等领域也有广阔的职业选择。</w:t>
      </w:r>
    </w:p>
    <w:p>
      <w:pPr>
        <w:spacing w:line="360" w:lineRule="auto"/>
        <w:ind w:firstLine="562"/>
        <w:rPr>
          <w:rFonts w:ascii="仿宋" w:hAnsi="仿宋" w:eastAsia="仿宋" w:cs="仿宋"/>
          <w:color w:val="auto"/>
          <w:sz w:val="28"/>
          <w:szCs w:val="28"/>
          <w:lang w:val="zh-TW" w:eastAsia="zh-TW"/>
        </w:rPr>
      </w:pPr>
      <w:r>
        <w:rPr>
          <w:rFonts w:ascii="仿宋" w:hAnsi="仿宋" w:eastAsia="仿宋" w:cs="仿宋"/>
          <w:color w:val="auto"/>
          <w:sz w:val="28"/>
          <w:szCs w:val="28"/>
          <w:lang w:val="zh-TW" w:eastAsia="zh-TW"/>
        </w:rPr>
        <w:t>更多信息请访问麦考瑞大学官方网站：</w:t>
      </w:r>
      <w:r>
        <w:rPr>
          <w:rFonts w:hint="eastAsia" w:ascii="仿宋" w:hAnsi="仿宋" w:eastAsia="仿宋" w:cs="仿宋"/>
          <w:color w:val="auto"/>
          <w:sz w:val="28"/>
          <w:szCs w:val="28"/>
          <w:lang w:val="zh-TW" w:eastAsia="zh-TW"/>
        </w:rPr>
        <w:t>https://www.mq.edu.au/</w:t>
      </w:r>
      <w:r>
        <w:rPr>
          <w:rFonts w:hint="eastAsia" w:ascii="仿宋" w:hAnsi="仿宋" w:eastAsia="仿宋" w:cs="仿宋"/>
          <w:color w:val="auto"/>
          <w:sz w:val="28"/>
          <w:szCs w:val="28"/>
          <w:lang w:val="zh-TW" w:eastAsia="zh-CN"/>
        </w:rPr>
        <w:t>。</w:t>
      </w:r>
    </w:p>
    <w:p>
      <w:pPr>
        <w:pStyle w:val="4"/>
        <w:spacing w:before="312" w:after="0" w:line="360" w:lineRule="auto"/>
        <w:ind w:firstLine="562" w:firstLineChars="200"/>
        <w:rPr>
          <w:color w:val="auto"/>
          <w:sz w:val="28"/>
          <w:szCs w:val="28"/>
          <w:lang w:val="zh-TW" w:eastAsia="zh-TW"/>
        </w:rPr>
      </w:pPr>
      <w:r>
        <w:rPr>
          <w:rFonts w:hint="eastAsia"/>
          <w:color w:val="auto"/>
          <w:sz w:val="28"/>
          <w:szCs w:val="28"/>
          <w:lang w:val="en-US" w:eastAsia="zh-CN"/>
        </w:rPr>
        <w:t>五</w:t>
      </w:r>
      <w:r>
        <w:rPr>
          <w:color w:val="auto"/>
          <w:sz w:val="28"/>
          <w:szCs w:val="28"/>
          <w:lang w:val="zh-TW" w:eastAsia="zh-TW"/>
        </w:rPr>
        <w:t>、招生计划</w:t>
      </w:r>
    </w:p>
    <w:tbl>
      <w:tblPr>
        <w:tblStyle w:val="12"/>
        <w:tblW w:w="9168"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4635"/>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vAlign w:val="center"/>
          </w:tcPr>
          <w:p>
            <w:pPr>
              <w:pStyle w:val="2"/>
              <w:spacing w:line="360" w:lineRule="auto"/>
              <w:ind w:firstLine="0" w:firstLineChars="0"/>
              <w:jc w:val="center"/>
              <w:rPr>
                <w:rFonts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rPr>
              <w:t>专业名称</w:t>
            </w:r>
          </w:p>
        </w:tc>
        <w:tc>
          <w:tcPr>
            <w:tcW w:w="4635" w:type="dxa"/>
            <w:vAlign w:val="center"/>
          </w:tcPr>
          <w:p>
            <w:pPr>
              <w:spacing w:line="360" w:lineRule="auto"/>
              <w:jc w:val="center"/>
              <w:rPr>
                <w:rFonts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rPr>
              <w:t>培养模式</w:t>
            </w:r>
          </w:p>
        </w:tc>
        <w:tc>
          <w:tcPr>
            <w:tcW w:w="2373" w:type="dxa"/>
            <w:vAlign w:val="center"/>
          </w:tcPr>
          <w:p>
            <w:pPr>
              <w:spacing w:line="360" w:lineRule="auto"/>
              <w:jc w:val="center"/>
              <w:rPr>
                <w:rFonts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rPr>
              <w:t>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60" w:type="dxa"/>
            <w:vAlign w:val="center"/>
          </w:tcPr>
          <w:p>
            <w:pPr>
              <w:spacing w:line="360" w:lineRule="auto"/>
              <w:jc w:val="center"/>
              <w:rPr>
                <w:rFonts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rPr>
              <w:t>药学（中澳学分互认联合培养项目）</w:t>
            </w:r>
          </w:p>
        </w:tc>
        <w:tc>
          <w:tcPr>
            <w:tcW w:w="4635" w:type="dxa"/>
            <w:vAlign w:val="center"/>
          </w:tcPr>
          <w:p>
            <w:pPr>
              <w:pStyle w:val="2"/>
              <w:spacing w:line="360" w:lineRule="auto"/>
              <w:ind w:firstLine="0" w:firstLineChars="0"/>
              <w:jc w:val="center"/>
              <w:rPr>
                <w:rFonts w:hint="default" w:eastAsia="仿宋"/>
                <w:color w:val="auto"/>
                <w:sz w:val="28"/>
                <w:szCs w:val="28"/>
                <w:lang w:eastAsia="zh-TW"/>
              </w:rPr>
            </w:pPr>
            <w:r>
              <w:rPr>
                <w:rFonts w:hint="default" w:ascii="Times New Roman" w:hAnsi="Times New Roman" w:eastAsia="仿宋" w:cs="Times New Roman"/>
                <w:b w:val="0"/>
                <w:bCs w:val="0"/>
                <w:color w:val="auto"/>
                <w:kern w:val="28"/>
                <w:sz w:val="28"/>
                <w:szCs w:val="28"/>
              </w:rPr>
              <w:t>学制四年，</w:t>
            </w:r>
            <w:r>
              <w:rPr>
                <w:rFonts w:hint="default" w:ascii="Times New Roman" w:hAnsi="Times New Roman" w:eastAsia="仿宋" w:cs="Times New Roman"/>
                <w:b w:val="0"/>
                <w:bCs w:val="0"/>
                <w:color w:val="auto"/>
                <w:kern w:val="28"/>
                <w:sz w:val="28"/>
                <w:szCs w:val="28"/>
                <w:lang w:val="en-US" w:eastAsia="zh-CN"/>
              </w:rPr>
              <w:t>修业年限4~7年，</w:t>
            </w:r>
            <w:r>
              <w:rPr>
                <w:rFonts w:hint="default" w:ascii="Times New Roman" w:hAnsi="Times New Roman" w:eastAsia="仿宋" w:cs="Times New Roman"/>
                <w:b w:val="0"/>
                <w:bCs w:val="0"/>
                <w:color w:val="auto"/>
                <w:kern w:val="28"/>
                <w:sz w:val="28"/>
                <w:szCs w:val="28"/>
                <w:lang w:val="zh-TW" w:eastAsia="zh-TW"/>
              </w:rPr>
              <w:t>与麦考瑞大学</w:t>
            </w:r>
            <w:r>
              <w:rPr>
                <w:rFonts w:hint="default" w:eastAsia="仿宋"/>
                <w:b w:val="0"/>
                <w:bCs w:val="0"/>
                <w:color w:val="auto"/>
                <w:kern w:val="28"/>
                <w:sz w:val="28"/>
                <w:szCs w:val="28"/>
              </w:rPr>
              <w:t>2+2</w:t>
            </w:r>
            <w:r>
              <w:rPr>
                <w:rFonts w:hint="default" w:ascii="Times New Roman" w:hAnsi="Times New Roman" w:eastAsia="仿宋" w:cs="Times New Roman"/>
                <w:b w:val="0"/>
                <w:bCs w:val="0"/>
                <w:color w:val="auto"/>
                <w:kern w:val="28"/>
                <w:sz w:val="28"/>
                <w:szCs w:val="28"/>
                <w:lang w:val="zh-TW" w:eastAsia="zh-TW"/>
              </w:rPr>
              <w:t>联合培养，</w:t>
            </w:r>
            <w:r>
              <w:rPr>
                <w:rFonts w:hint="default" w:ascii="Times New Roman" w:hAnsi="Times New Roman" w:eastAsia="仿宋" w:cs="Times New Roman"/>
                <w:b w:val="0"/>
                <w:bCs w:val="0"/>
                <w:color w:val="auto"/>
                <w:kern w:val="28"/>
                <w:sz w:val="28"/>
                <w:szCs w:val="28"/>
              </w:rPr>
              <w:t>学生</w:t>
            </w:r>
            <w:r>
              <w:rPr>
                <w:rFonts w:hint="default" w:ascii="Times New Roman" w:hAnsi="Times New Roman" w:eastAsia="仿宋" w:cs="Times New Roman"/>
                <w:b w:val="0"/>
                <w:bCs w:val="0"/>
                <w:color w:val="auto"/>
                <w:kern w:val="28"/>
                <w:sz w:val="28"/>
                <w:szCs w:val="28"/>
                <w:lang w:val="zh-TW" w:eastAsia="zh-TW"/>
              </w:rPr>
              <w:t>第三、第四学年需赴澳学习攻读学位，出国费用另计）</w:t>
            </w:r>
          </w:p>
        </w:tc>
        <w:tc>
          <w:tcPr>
            <w:tcW w:w="2373" w:type="dxa"/>
            <w:vAlign w:val="center"/>
          </w:tcPr>
          <w:p>
            <w:pPr>
              <w:spacing w:line="360" w:lineRule="auto"/>
              <w:jc w:val="center"/>
              <w:rPr>
                <w:rFonts w:hint="default" w:ascii="Times New Roman" w:hAnsi="Times New Roman" w:eastAsia="仿宋" w:cs="Times New Roman"/>
                <w:b w:val="0"/>
                <w:bCs w:val="0"/>
                <w:color w:val="auto"/>
                <w:kern w:val="28"/>
                <w:sz w:val="28"/>
                <w:szCs w:val="28"/>
                <w:lang w:val="en-US" w:eastAsia="zh-CN"/>
              </w:rPr>
            </w:pPr>
            <w:r>
              <w:rPr>
                <w:rFonts w:hint="default" w:ascii="Times New Roman" w:hAnsi="Times New Roman" w:eastAsia="仿宋" w:cs="Times New Roman"/>
                <w:b w:val="0"/>
                <w:bCs w:val="0"/>
                <w:color w:val="auto"/>
                <w:kern w:val="28"/>
                <w:sz w:val="28"/>
                <w:szCs w:val="28"/>
              </w:rPr>
              <w:t>50</w:t>
            </w:r>
            <w:r>
              <w:rPr>
                <w:rFonts w:hint="default" w:ascii="Times New Roman" w:hAnsi="Times New Roman" w:eastAsia="仿宋" w:cs="Times New Roman"/>
                <w:b w:val="0"/>
                <w:bCs w:val="0"/>
                <w:color w:val="auto"/>
                <w:kern w:val="28"/>
                <w:sz w:val="28"/>
                <w:szCs w:val="28"/>
                <w:lang w:val="en-US" w:eastAsia="zh-CN"/>
              </w:rPr>
              <w:t>（广西区内30人，广西区外20人）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3"/>
            <w:vAlign w:val="center"/>
          </w:tcPr>
          <w:p>
            <w:pPr>
              <w:spacing w:line="360" w:lineRule="auto"/>
              <w:ind w:firstLine="560" w:firstLineChars="200"/>
              <w:jc w:val="left"/>
              <w:rPr>
                <w:rFonts w:ascii="Times New Roman" w:hAnsi="Times New Roman" w:eastAsia="仿宋" w:cs="Times New Roman"/>
                <w:color w:val="auto"/>
                <w:kern w:val="28"/>
                <w:sz w:val="28"/>
                <w:szCs w:val="28"/>
                <w:lang w:val="zh-TW" w:eastAsia="zh-TW"/>
              </w:rPr>
            </w:pPr>
            <w:r>
              <w:rPr>
                <w:rFonts w:hint="default" w:ascii="Times New Roman" w:hAnsi="Times New Roman" w:eastAsia="仿宋" w:cs="Times New Roman"/>
                <w:color w:val="auto"/>
                <w:kern w:val="28"/>
                <w:sz w:val="28"/>
                <w:szCs w:val="28"/>
                <w:lang w:val="zh-TW" w:eastAsia="zh-TW"/>
              </w:rPr>
              <w:t>注：</w:t>
            </w:r>
          </w:p>
          <w:p>
            <w:pPr>
              <w:spacing w:line="360" w:lineRule="auto"/>
              <w:ind w:firstLine="560" w:firstLineChars="200"/>
              <w:jc w:val="left"/>
              <w:rPr>
                <w:rFonts w:ascii="Times New Roman" w:hAnsi="Times New Roman" w:eastAsia="仿宋" w:cs="Times New Roman"/>
                <w:color w:val="auto"/>
                <w:kern w:val="28"/>
                <w:sz w:val="28"/>
                <w:szCs w:val="28"/>
              </w:rPr>
            </w:pPr>
            <w:r>
              <w:rPr>
                <w:rFonts w:hint="default" w:ascii="Times New Roman" w:hAnsi="Times New Roman" w:eastAsia="仿宋" w:cs="Times New Roman"/>
                <w:color w:val="auto"/>
                <w:kern w:val="28"/>
                <w:sz w:val="28"/>
                <w:szCs w:val="28"/>
              </w:rPr>
              <w:t>1.考生</w:t>
            </w:r>
            <w:r>
              <w:rPr>
                <w:rFonts w:hint="default" w:ascii="Times New Roman" w:hAnsi="Times New Roman" w:eastAsia="仿宋" w:cs="Times New Roman"/>
                <w:color w:val="auto"/>
                <w:kern w:val="28"/>
                <w:sz w:val="28"/>
                <w:szCs w:val="28"/>
                <w:lang w:eastAsia="zh-Hans"/>
              </w:rPr>
              <w:t>高考</w:t>
            </w:r>
            <w:r>
              <w:rPr>
                <w:rFonts w:hint="default" w:ascii="Times New Roman" w:hAnsi="Times New Roman" w:eastAsia="仿宋" w:cs="Times New Roman"/>
                <w:color w:val="auto"/>
                <w:kern w:val="28"/>
                <w:sz w:val="28"/>
                <w:szCs w:val="28"/>
              </w:rPr>
              <w:t>英语成绩要求不低于 105 分（150 分制）（单科满分值不为 150 分制按70%折算）。</w:t>
            </w:r>
          </w:p>
          <w:p>
            <w:pPr>
              <w:pStyle w:val="2"/>
              <w:spacing w:line="360" w:lineRule="auto"/>
              <w:ind w:firstLine="480"/>
              <w:jc w:val="left"/>
              <w:rPr>
                <w:color w:val="auto"/>
              </w:rPr>
            </w:pPr>
            <w:r>
              <w:rPr>
                <w:rFonts w:hint="default" w:ascii="Times New Roman" w:hAnsi="Times New Roman" w:eastAsia="仿宋" w:cs="Times New Roman"/>
                <w:color w:val="auto"/>
                <w:kern w:val="28"/>
                <w:sz w:val="28"/>
                <w:szCs w:val="28"/>
              </w:rPr>
              <w:t>2.考生须谨慎考量</w:t>
            </w:r>
            <w:r>
              <w:rPr>
                <w:rFonts w:hint="default" w:ascii="Times New Roman" w:hAnsi="Times New Roman" w:eastAsia="仿宋" w:cs="Times New Roman"/>
                <w:color w:val="auto"/>
                <w:kern w:val="28"/>
                <w:sz w:val="28"/>
                <w:szCs w:val="28"/>
                <w:lang w:val="en-US" w:eastAsia="zh-CN"/>
              </w:rPr>
              <w:t>个人</w:t>
            </w:r>
            <w:r>
              <w:rPr>
                <w:rFonts w:hint="default" w:ascii="Times New Roman" w:hAnsi="Times New Roman" w:eastAsia="仿宋" w:cs="Times New Roman"/>
                <w:color w:val="auto"/>
                <w:kern w:val="28"/>
                <w:sz w:val="28"/>
                <w:szCs w:val="28"/>
              </w:rPr>
              <w:t>英语水平、留学费用和留学规划，做好充分的留学准备。</w:t>
            </w:r>
          </w:p>
        </w:tc>
      </w:tr>
    </w:tbl>
    <w:p>
      <w:pPr>
        <w:pStyle w:val="4"/>
        <w:spacing w:before="312" w:after="0" w:line="360" w:lineRule="auto"/>
        <w:ind w:firstLine="562" w:firstLineChars="200"/>
        <w:rPr>
          <w:rFonts w:ascii="Times New Roman" w:hAnsi="Times New Roman" w:eastAsia="Times New Roman" w:cs="Times New Roman"/>
          <w:color w:val="auto"/>
          <w:sz w:val="28"/>
          <w:szCs w:val="28"/>
          <w:lang w:val="zh-TW" w:eastAsia="zh-TW"/>
        </w:rPr>
      </w:pPr>
      <w:r>
        <w:rPr>
          <w:rFonts w:hint="eastAsia"/>
          <w:color w:val="auto"/>
          <w:sz w:val="28"/>
          <w:szCs w:val="28"/>
          <w:lang w:val="en-US" w:eastAsia="zh-CN"/>
        </w:rPr>
        <w:t>六</w:t>
      </w:r>
      <w:r>
        <w:rPr>
          <w:color w:val="auto"/>
          <w:sz w:val="28"/>
          <w:szCs w:val="28"/>
          <w:lang w:val="zh-TW" w:eastAsia="zh-TW"/>
        </w:rPr>
        <w:t>、</w:t>
      </w:r>
      <w:r>
        <w:rPr>
          <w:rFonts w:hint="eastAsia"/>
          <w:color w:val="auto"/>
          <w:sz w:val="28"/>
          <w:szCs w:val="28"/>
          <w:lang w:val="zh-TW"/>
        </w:rPr>
        <w:t>澳方</w:t>
      </w:r>
      <w:r>
        <w:rPr>
          <w:color w:val="auto"/>
          <w:sz w:val="28"/>
          <w:szCs w:val="28"/>
          <w:lang w:val="zh-TW" w:eastAsia="zh-TW"/>
        </w:rPr>
        <w:t>高校转入要求</w:t>
      </w:r>
    </w:p>
    <w:p>
      <w:pPr>
        <w:spacing w:line="360" w:lineRule="auto"/>
        <w:ind w:firstLine="560"/>
        <w:rPr>
          <w:rFonts w:hint="default" w:ascii="Times New Roman" w:hAnsi="Times New Roman" w:eastAsia="仿宋" w:cs="Times New Roman"/>
          <w:color w:val="auto"/>
          <w:sz w:val="28"/>
          <w:szCs w:val="28"/>
          <w:lang w:val="zh-TW" w:eastAsia="zh-TW"/>
        </w:rPr>
      </w:pPr>
      <w:r>
        <w:rPr>
          <w:rFonts w:hint="eastAsia" w:ascii="Times New Roman" w:hAnsi="Times New Roman" w:eastAsia="仿宋" w:cs="Times New Roman"/>
          <w:color w:val="auto"/>
          <w:sz w:val="28"/>
          <w:szCs w:val="28"/>
          <w:lang w:val="zh-TW" w:eastAsia="zh-TW"/>
        </w:rPr>
        <w:t>中澳联培项目的学生在第</w:t>
      </w:r>
      <w:r>
        <w:rPr>
          <w:rFonts w:hint="eastAsia" w:ascii="Times New Roman" w:hAnsi="Times New Roman" w:eastAsia="仿宋" w:cs="Times New Roman"/>
          <w:color w:val="auto"/>
          <w:sz w:val="28"/>
          <w:szCs w:val="28"/>
          <w:lang w:val="en-US" w:eastAsia="zh-CN"/>
        </w:rPr>
        <w:t>二学年</w:t>
      </w:r>
      <w:r>
        <w:rPr>
          <w:rFonts w:hint="eastAsia" w:ascii="Times New Roman" w:hAnsi="Times New Roman" w:eastAsia="仿宋" w:cs="Times New Roman"/>
          <w:color w:val="auto"/>
          <w:sz w:val="28"/>
          <w:szCs w:val="28"/>
          <w:lang w:val="zh-TW" w:eastAsia="zh-TW"/>
        </w:rPr>
        <w:t>学习结束后，需同时达到英语语言和专业成绩要求，方可到澳方合作高校学习。</w:t>
      </w:r>
      <w:r>
        <w:rPr>
          <w:rFonts w:ascii="Times New Roman" w:hAnsi="Times New Roman" w:eastAsia="仿宋" w:cs="Times New Roman"/>
          <w:color w:val="auto"/>
          <w:sz w:val="28"/>
          <w:szCs w:val="28"/>
          <w:lang w:val="zh-TW" w:eastAsia="zh-TW"/>
        </w:rPr>
        <w:t>转入要求如下：</w:t>
      </w:r>
    </w:p>
    <w:p>
      <w:pPr>
        <w:spacing w:line="360" w:lineRule="auto"/>
        <w:ind w:firstLine="560" w:firstLineChars="200"/>
        <w:rPr>
          <w:rFonts w:ascii="Times New Roman" w:hAnsi="Times New Roman" w:eastAsia="仿宋" w:cs="Times New Roman"/>
          <w:color w:val="auto"/>
          <w:sz w:val="28"/>
          <w:szCs w:val="28"/>
          <w:lang w:val="zh-TW" w:eastAsia="zh-TW"/>
        </w:rPr>
      </w:pPr>
      <w:r>
        <w:rPr>
          <w:rFonts w:ascii="Times New Roman" w:hAnsi="Times New Roman" w:eastAsia="仿宋" w:cs="Times New Roman"/>
          <w:color w:val="auto"/>
          <w:sz w:val="28"/>
          <w:szCs w:val="28"/>
          <w:lang w:val="zh-TW" w:eastAsia="zh-TW"/>
        </w:rPr>
        <w:t xml:space="preserve"> </w:t>
      </w:r>
      <w:r>
        <w:rPr>
          <w:rFonts w:hint="eastAsia" w:ascii="Times New Roman" w:hAnsi="Times New Roman" w:eastAsia="仿宋" w:cs="Times New Roman"/>
          <w:color w:val="auto"/>
          <w:sz w:val="28"/>
          <w:szCs w:val="28"/>
          <w:lang w:val="zh-TW" w:eastAsia="zh-CN"/>
        </w:rPr>
        <w:t>（</w:t>
      </w:r>
      <w:r>
        <w:rPr>
          <w:rFonts w:hint="eastAsia" w:ascii="Times New Roman" w:hAnsi="Times New Roman" w:eastAsia="仿宋" w:cs="Times New Roman"/>
          <w:color w:val="auto"/>
          <w:sz w:val="28"/>
          <w:szCs w:val="28"/>
          <w:lang w:val="en-US" w:eastAsia="zh-CN"/>
        </w:rPr>
        <w:t>一</w:t>
      </w:r>
      <w:r>
        <w:rPr>
          <w:rFonts w:hint="eastAsia" w:ascii="Times New Roman" w:hAnsi="Times New Roman" w:eastAsia="仿宋" w:cs="Times New Roman"/>
          <w:color w:val="auto"/>
          <w:sz w:val="28"/>
          <w:szCs w:val="28"/>
          <w:lang w:val="zh-TW" w:eastAsia="zh-CN"/>
        </w:rPr>
        <w:t>）</w:t>
      </w:r>
      <w:r>
        <w:rPr>
          <w:rFonts w:hint="default" w:ascii="Times New Roman" w:hAnsi="Times New Roman" w:eastAsia="仿宋" w:cs="Times New Roman"/>
          <w:color w:val="auto"/>
          <w:sz w:val="28"/>
          <w:szCs w:val="28"/>
          <w:lang w:val="zh-TW" w:eastAsia="zh-TW"/>
        </w:rPr>
        <w:t>英语语言要求：雅思成绩</w:t>
      </w:r>
      <w:r>
        <w:rPr>
          <w:rFonts w:ascii="Times New Roman" w:hAnsi="Times New Roman" w:eastAsia="仿宋" w:cs="Times New Roman"/>
          <w:color w:val="auto"/>
          <w:sz w:val="28"/>
          <w:szCs w:val="28"/>
          <w:lang w:val="zh-TW" w:eastAsia="zh-TW"/>
        </w:rPr>
        <w:t>6.5分及以上</w:t>
      </w:r>
      <w:r>
        <w:rPr>
          <w:rFonts w:hint="default" w:ascii="Times New Roman" w:hAnsi="Times New Roman" w:eastAsia="仿宋" w:cs="Times New Roman"/>
          <w:color w:val="auto"/>
          <w:sz w:val="28"/>
          <w:szCs w:val="28"/>
          <w:lang w:val="zh-TW" w:eastAsia="zh-TW"/>
        </w:rPr>
        <w:t>，且听、说、读、写单科成绩不低于</w:t>
      </w:r>
      <w:r>
        <w:rPr>
          <w:rFonts w:ascii="Times New Roman" w:hAnsi="Times New Roman" w:eastAsia="仿宋" w:cs="Times New Roman"/>
          <w:color w:val="auto"/>
          <w:sz w:val="28"/>
          <w:szCs w:val="28"/>
          <w:lang w:val="zh-TW" w:eastAsia="zh-TW"/>
        </w:rPr>
        <w:t>6.0</w:t>
      </w:r>
      <w:r>
        <w:rPr>
          <w:rFonts w:hint="default" w:ascii="Times New Roman" w:hAnsi="Times New Roman" w:eastAsia="仿宋" w:cs="Times New Roman"/>
          <w:color w:val="auto"/>
          <w:sz w:val="28"/>
          <w:szCs w:val="28"/>
          <w:lang w:val="zh-TW" w:eastAsia="zh-TW"/>
        </w:rPr>
        <w:t>分。</w:t>
      </w:r>
      <w:r>
        <w:rPr>
          <w:rFonts w:ascii="Times New Roman" w:hAnsi="Times New Roman" w:eastAsia="仿宋" w:cs="Times New Roman"/>
          <w:color w:val="auto"/>
          <w:sz w:val="28"/>
          <w:szCs w:val="28"/>
          <w:lang w:val="zh-TW" w:eastAsia="zh-TW"/>
        </w:rPr>
        <w:t>雅思成绩 5.5-6.5 分（不含 6.5，且单科不低于 5.0）者，</w:t>
      </w:r>
      <w:r>
        <w:rPr>
          <w:rFonts w:hint="default" w:ascii="Times New Roman" w:hAnsi="Times New Roman" w:eastAsia="仿宋" w:cs="Times New Roman"/>
          <w:color w:val="auto"/>
          <w:sz w:val="28"/>
          <w:szCs w:val="28"/>
          <w:lang w:val="zh-TW" w:eastAsia="zh-TW"/>
        </w:rPr>
        <w:t>可申请附带语言成绩要求的有条件录取。</w:t>
      </w:r>
    </w:p>
    <w:p>
      <w:pPr>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TW" w:eastAsia="zh-TW"/>
        </w:rPr>
        <w:t>（二）</w:t>
      </w:r>
      <w:r>
        <w:rPr>
          <w:rFonts w:ascii="Times New Roman" w:hAnsi="Times New Roman" w:eastAsia="仿宋" w:cs="Times New Roman"/>
          <w:color w:val="auto"/>
          <w:sz w:val="28"/>
          <w:szCs w:val="28"/>
          <w:lang w:val="zh-TW" w:eastAsia="zh-TW"/>
        </w:rPr>
        <w:t>专业成绩要求：完成</w:t>
      </w:r>
      <w:r>
        <w:rPr>
          <w:rFonts w:hint="default" w:ascii="Times New Roman" w:hAnsi="Times New Roman" w:eastAsia="仿宋" w:cs="Times New Roman"/>
          <w:color w:val="auto"/>
          <w:sz w:val="28"/>
          <w:szCs w:val="28"/>
          <w:lang w:val="zh-TW"/>
        </w:rPr>
        <w:t>广西医科大学</w:t>
      </w:r>
      <w:r>
        <w:rPr>
          <w:rFonts w:ascii="Times New Roman" w:hAnsi="Times New Roman" w:eastAsia="仿宋" w:cs="Times New Roman"/>
          <w:color w:val="auto"/>
          <w:sz w:val="28"/>
          <w:szCs w:val="28"/>
          <w:lang w:val="zh-TW" w:eastAsia="zh-TW"/>
        </w:rPr>
        <w:t>前两年所有培养计划，前两年专业课程平均分达到</w:t>
      </w:r>
      <w:r>
        <w:rPr>
          <w:rFonts w:hint="default" w:ascii="Times New Roman" w:hAnsi="Times New Roman" w:eastAsia="仿宋" w:cs="Times New Roman"/>
          <w:color w:val="auto"/>
          <w:sz w:val="28"/>
          <w:szCs w:val="28"/>
        </w:rPr>
        <w:t>70</w:t>
      </w:r>
      <w:r>
        <w:rPr>
          <w:rFonts w:ascii="Times New Roman" w:hAnsi="Times New Roman" w:eastAsia="仿宋" w:cs="Times New Roman"/>
          <w:color w:val="auto"/>
          <w:sz w:val="28"/>
          <w:szCs w:val="28"/>
          <w:lang w:val="zh-TW" w:eastAsia="zh-TW"/>
        </w:rPr>
        <w:t>分以上（百分制，算术平均分）</w:t>
      </w:r>
      <w:r>
        <w:rPr>
          <w:rFonts w:hint="default" w:ascii="Times New Roman" w:hAnsi="Times New Roman" w:eastAsia="仿宋" w:cs="Times New Roman"/>
          <w:color w:val="auto"/>
          <w:sz w:val="28"/>
          <w:szCs w:val="28"/>
          <w:lang w:val="zh-TW"/>
        </w:rPr>
        <w:t>。</w:t>
      </w:r>
    </w:p>
    <w:p>
      <w:pPr>
        <w:pStyle w:val="4"/>
        <w:spacing w:before="312" w:after="0" w:line="360" w:lineRule="auto"/>
        <w:ind w:firstLine="562" w:firstLineChars="200"/>
        <w:rPr>
          <w:rFonts w:ascii="Times New Roman" w:hAnsi="Times New Roman" w:cs="Times New Roman"/>
          <w:color w:val="auto"/>
          <w:sz w:val="28"/>
          <w:szCs w:val="28"/>
          <w:highlight w:val="yellow"/>
        </w:rPr>
      </w:pPr>
      <w:r>
        <w:rPr>
          <w:rFonts w:hint="eastAsia"/>
          <w:color w:val="auto"/>
          <w:sz w:val="28"/>
          <w:szCs w:val="28"/>
        </w:rPr>
        <w:t>七</w:t>
      </w:r>
      <w:r>
        <w:rPr>
          <w:color w:val="auto"/>
          <w:sz w:val="28"/>
          <w:szCs w:val="28"/>
          <w:lang w:val="zh-TW" w:eastAsia="zh-TW"/>
        </w:rPr>
        <w:t>、收费标准</w:t>
      </w:r>
      <w:r>
        <w:rPr>
          <w:rFonts w:hint="eastAsia"/>
          <w:color w:val="auto"/>
          <w:sz w:val="28"/>
          <w:szCs w:val="28"/>
        </w:rPr>
        <w:t xml:space="preserve"> </w:t>
      </w:r>
    </w:p>
    <w:p>
      <w:pPr>
        <w:spacing w:line="360" w:lineRule="auto"/>
        <w:ind w:firstLine="560"/>
        <w:rPr>
          <w:rFonts w:ascii="仿宋" w:hAnsi="仿宋" w:eastAsia="仿宋" w:cs="仿宋"/>
          <w:color w:val="auto"/>
          <w:sz w:val="28"/>
          <w:szCs w:val="28"/>
          <w:highlight w:val="yellow"/>
          <w:lang w:val="zh-TW" w:eastAsia="zh-TW"/>
        </w:rPr>
      </w:pPr>
      <w:r>
        <w:rPr>
          <w:rFonts w:hint="eastAsia" w:ascii="Times New Roman" w:hAnsi="Times New Roman" w:eastAsia="仿宋"/>
          <w:color w:val="auto"/>
          <w:sz w:val="28"/>
          <w:szCs w:val="28"/>
        </w:rPr>
        <w:t>（二）</w:t>
      </w:r>
      <w:r>
        <w:rPr>
          <w:rFonts w:ascii="仿宋" w:hAnsi="仿宋" w:eastAsia="仿宋" w:cs="仿宋"/>
          <w:color w:val="auto"/>
          <w:sz w:val="28"/>
          <w:szCs w:val="28"/>
          <w:lang w:val="zh-TW" w:eastAsia="zh-TW"/>
        </w:rPr>
        <w:t>在</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高校交流学习期间</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高校的学费、生活费由学生自行承担，其中麦考瑞大学学费约</w:t>
      </w:r>
      <w:r>
        <w:rPr>
          <w:rFonts w:ascii="Times New Roman" w:hAnsi="Times New Roman" w:eastAsia="仿宋"/>
          <w:color w:val="auto"/>
          <w:sz w:val="28"/>
          <w:szCs w:val="28"/>
        </w:rPr>
        <w:t>39</w:t>
      </w:r>
      <w:r>
        <w:rPr>
          <w:rFonts w:ascii="Times New Roman" w:hAnsi="Times New Roman"/>
          <w:color w:val="auto"/>
          <w:sz w:val="28"/>
          <w:szCs w:val="28"/>
        </w:rPr>
        <w:t>,600</w:t>
      </w:r>
      <w:r>
        <w:rPr>
          <w:rFonts w:ascii="仿宋" w:hAnsi="仿宋" w:eastAsia="仿宋" w:cs="仿宋"/>
          <w:color w:val="auto"/>
          <w:sz w:val="28"/>
          <w:szCs w:val="28"/>
          <w:lang w:val="zh-TW" w:eastAsia="zh-TW"/>
        </w:rPr>
        <w:t>澳元</w:t>
      </w:r>
      <w:r>
        <w:rPr>
          <w:rFonts w:ascii="Times New Roman" w:hAnsi="Times New Roman"/>
          <w:color w:val="auto"/>
          <w:sz w:val="28"/>
          <w:szCs w:val="28"/>
        </w:rPr>
        <w:t>/</w:t>
      </w:r>
      <w:r>
        <w:rPr>
          <w:rFonts w:ascii="仿宋" w:hAnsi="仿宋" w:eastAsia="仿宋" w:cs="仿宋"/>
          <w:color w:val="auto"/>
          <w:sz w:val="28"/>
          <w:szCs w:val="28"/>
          <w:lang w:val="zh-TW" w:eastAsia="zh-TW"/>
        </w:rPr>
        <w:t>学年；在澳生活费约</w:t>
      </w:r>
      <w:r>
        <w:rPr>
          <w:rFonts w:ascii="Times New Roman" w:hAnsi="Times New Roman"/>
          <w:color w:val="auto"/>
          <w:sz w:val="28"/>
          <w:szCs w:val="28"/>
        </w:rPr>
        <w:t>20,000</w:t>
      </w:r>
      <w:r>
        <w:rPr>
          <w:rFonts w:ascii="仿宋" w:hAnsi="仿宋" w:eastAsia="仿宋" w:cs="仿宋"/>
          <w:color w:val="auto"/>
          <w:sz w:val="28"/>
          <w:szCs w:val="28"/>
          <w:lang w:val="zh-TW" w:eastAsia="zh-TW"/>
        </w:rPr>
        <w:t>澳元</w:t>
      </w:r>
      <w:r>
        <w:rPr>
          <w:rFonts w:ascii="Times New Roman" w:hAnsi="Times New Roman"/>
          <w:color w:val="auto"/>
          <w:sz w:val="28"/>
          <w:szCs w:val="28"/>
        </w:rPr>
        <w:t>/</w:t>
      </w:r>
      <w:r>
        <w:rPr>
          <w:rFonts w:ascii="仿宋" w:hAnsi="仿宋" w:eastAsia="仿宋" w:cs="仿宋"/>
          <w:color w:val="auto"/>
          <w:sz w:val="28"/>
          <w:szCs w:val="28"/>
          <w:lang w:val="zh-TW" w:eastAsia="zh-TW"/>
        </w:rPr>
        <w:t>学年。（注：以上数据为</w:t>
      </w:r>
      <w:r>
        <w:rPr>
          <w:rFonts w:ascii="Times New Roman" w:hAnsi="Times New Roman"/>
          <w:color w:val="auto"/>
          <w:sz w:val="28"/>
          <w:szCs w:val="28"/>
        </w:rPr>
        <w:t>202</w:t>
      </w:r>
      <w:r>
        <w:rPr>
          <w:rFonts w:hint="eastAsia" w:ascii="Times New Roman" w:hAnsi="Times New Roman"/>
          <w:color w:val="auto"/>
          <w:sz w:val="28"/>
          <w:szCs w:val="28"/>
        </w:rPr>
        <w:t>2</w:t>
      </w:r>
      <w:r>
        <w:rPr>
          <w:rFonts w:ascii="仿宋" w:hAnsi="仿宋" w:eastAsia="仿宋" w:cs="仿宋"/>
          <w:color w:val="auto"/>
          <w:sz w:val="28"/>
          <w:szCs w:val="28"/>
          <w:lang w:val="zh-TW" w:eastAsia="zh-TW"/>
        </w:rPr>
        <w:t>年标准，实际费用届时以</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大学转入学习通知书为准，如需修读语言课程或联合教学计划以外的课程，费用另计</w:t>
      </w:r>
      <w:r>
        <w:rPr>
          <w:rFonts w:ascii="仿宋" w:hAnsi="仿宋" w:eastAsia="仿宋" w:cs="仿宋"/>
          <w:color w:val="auto"/>
          <w:sz w:val="28"/>
          <w:szCs w:val="28"/>
          <w:highlight w:val="none"/>
          <w:lang w:val="zh-TW" w:eastAsia="zh-TW"/>
        </w:rPr>
        <w:t>）。</w:t>
      </w:r>
    </w:p>
    <w:p>
      <w:pPr>
        <w:pStyle w:val="10"/>
        <w:shd w:val="clear" w:color="auto" w:fill="FFFFFF"/>
        <w:spacing w:before="0" w:after="0" w:line="360" w:lineRule="auto"/>
        <w:ind w:firstLine="560"/>
        <w:rPr>
          <w:rFonts w:ascii="Times New Roman" w:hAnsi="Times New Roman" w:eastAsia="Times New Roman" w:cs="Times New Roman"/>
          <w:color w:val="auto"/>
          <w:sz w:val="28"/>
          <w:szCs w:val="28"/>
        </w:rPr>
      </w:pPr>
      <w:r>
        <w:rPr>
          <w:rFonts w:hint="eastAsia" w:ascii="Times New Roman" w:hAnsi="Times New Roman" w:eastAsia="仿宋"/>
          <w:color w:val="auto"/>
          <w:sz w:val="28"/>
          <w:szCs w:val="28"/>
        </w:rPr>
        <w:t>（三）</w:t>
      </w:r>
      <w:r>
        <w:rPr>
          <w:rFonts w:ascii="仿宋" w:hAnsi="仿宋" w:eastAsia="仿宋" w:cs="仿宋"/>
          <w:color w:val="auto"/>
          <w:sz w:val="28"/>
          <w:szCs w:val="28"/>
          <w:lang w:val="zh-TW" w:eastAsia="zh-TW"/>
        </w:rPr>
        <w:t>项目方（北京中教人文国际文化交流有限公司，下同）将向学生收取项目服务费</w:t>
      </w:r>
      <w:r>
        <w:rPr>
          <w:rFonts w:hint="eastAsia" w:ascii="仿宋" w:hAnsi="仿宋" w:eastAsia="仿宋" w:cs="仿宋"/>
          <w:color w:val="auto"/>
          <w:sz w:val="28"/>
          <w:szCs w:val="28"/>
          <w:lang w:val="en-US" w:eastAsia="zh-CN"/>
        </w:rPr>
        <w:t>共计</w:t>
      </w:r>
      <w:r>
        <w:rPr>
          <w:rFonts w:ascii="Times New Roman" w:hAnsi="Times New Roman"/>
          <w:color w:val="auto"/>
          <w:sz w:val="28"/>
          <w:szCs w:val="28"/>
        </w:rPr>
        <w:t>43,000</w:t>
      </w:r>
      <w:r>
        <w:rPr>
          <w:rFonts w:ascii="仿宋" w:hAnsi="仿宋" w:eastAsia="仿宋" w:cs="仿宋"/>
          <w:color w:val="auto"/>
          <w:sz w:val="28"/>
          <w:szCs w:val="28"/>
          <w:lang w:val="zh-TW" w:eastAsia="zh-TW"/>
        </w:rPr>
        <w:t>元人民币</w:t>
      </w:r>
      <w:r>
        <w:rPr>
          <w:rFonts w:ascii="Times New Roman" w:hAnsi="Times New Roman"/>
          <w:color w:val="auto"/>
          <w:sz w:val="28"/>
          <w:szCs w:val="28"/>
        </w:rPr>
        <w:t>/</w:t>
      </w:r>
      <w:r>
        <w:rPr>
          <w:rFonts w:ascii="仿宋" w:hAnsi="仿宋" w:eastAsia="仿宋" w:cs="仿宋"/>
          <w:color w:val="auto"/>
          <w:sz w:val="28"/>
          <w:szCs w:val="28"/>
          <w:lang w:val="zh-TW" w:eastAsia="zh-TW"/>
        </w:rPr>
        <w:t>生</w:t>
      </w:r>
      <w:r>
        <w:rPr>
          <w:rFonts w:hint="eastAsia" w:ascii="仿宋" w:hAnsi="仿宋" w:eastAsia="仿宋" w:cs="仿宋"/>
          <w:color w:val="auto"/>
          <w:sz w:val="28"/>
          <w:szCs w:val="28"/>
          <w:lang w:val="zh-TW" w:eastAsia="zh-CN"/>
        </w:rPr>
        <w:t>，</w:t>
      </w:r>
      <w:r>
        <w:rPr>
          <w:rFonts w:ascii="仿宋" w:hAnsi="仿宋" w:eastAsia="仿宋" w:cs="仿宋"/>
          <w:color w:val="auto"/>
          <w:sz w:val="28"/>
          <w:szCs w:val="28"/>
          <w:lang w:val="zh-TW" w:eastAsia="zh-TW"/>
        </w:rPr>
        <w:t>费用分两次收取</w:t>
      </w:r>
      <w:r>
        <w:rPr>
          <w:rFonts w:hint="eastAsia" w:ascii="仿宋" w:hAnsi="仿宋" w:eastAsia="仿宋" w:cs="仿宋"/>
          <w:color w:val="auto"/>
          <w:sz w:val="28"/>
          <w:szCs w:val="28"/>
          <w:lang w:val="zh-TW" w:eastAsia="zh-CN"/>
        </w:rPr>
        <w:t>。</w:t>
      </w:r>
      <w:r>
        <w:rPr>
          <w:rFonts w:ascii="仿宋" w:hAnsi="仿宋" w:eastAsia="仿宋" w:cs="仿宋"/>
          <w:color w:val="auto"/>
          <w:sz w:val="28"/>
          <w:szCs w:val="28"/>
          <w:lang w:val="zh-TW" w:eastAsia="zh-TW"/>
        </w:rPr>
        <w:t>第一次于学生注册报到时收取</w:t>
      </w:r>
      <w:r>
        <w:rPr>
          <w:rFonts w:ascii="Times New Roman" w:hAnsi="Times New Roman"/>
          <w:color w:val="auto"/>
          <w:sz w:val="28"/>
          <w:szCs w:val="28"/>
        </w:rPr>
        <w:t>28,000</w:t>
      </w:r>
      <w:r>
        <w:rPr>
          <w:rFonts w:ascii="仿宋" w:hAnsi="仿宋" w:eastAsia="仿宋" w:cs="仿宋"/>
          <w:color w:val="auto"/>
          <w:sz w:val="28"/>
          <w:szCs w:val="28"/>
          <w:lang w:val="zh-TW" w:eastAsia="zh-TW"/>
        </w:rPr>
        <w:t>元人民币</w:t>
      </w:r>
      <w:r>
        <w:rPr>
          <w:rFonts w:ascii="Times New Roman" w:hAnsi="Times New Roman"/>
          <w:color w:val="auto"/>
          <w:sz w:val="28"/>
          <w:szCs w:val="28"/>
        </w:rPr>
        <w:t>/</w:t>
      </w:r>
      <w:r>
        <w:rPr>
          <w:rFonts w:ascii="仿宋" w:hAnsi="仿宋" w:eastAsia="仿宋" w:cs="仿宋"/>
          <w:color w:val="auto"/>
          <w:sz w:val="28"/>
          <w:szCs w:val="28"/>
          <w:lang w:val="zh-TW" w:eastAsia="zh-TW"/>
        </w:rPr>
        <w:t>生（费用包含项目管理费、雅思强化等衔接课程费</w:t>
      </w:r>
      <w:r>
        <w:rPr>
          <w:rFonts w:hint="eastAsia" w:ascii="仿宋" w:hAnsi="仿宋" w:eastAsia="仿宋" w:cs="仿宋"/>
          <w:color w:val="auto"/>
          <w:sz w:val="28"/>
          <w:szCs w:val="28"/>
          <w:lang w:val="zh-TW" w:eastAsia="zh-CN"/>
        </w:rPr>
        <w:t>；</w:t>
      </w:r>
      <w:r>
        <w:rPr>
          <w:rFonts w:ascii="仿宋" w:hAnsi="仿宋" w:eastAsia="仿宋" w:cs="仿宋"/>
          <w:color w:val="auto"/>
          <w:sz w:val="28"/>
          <w:szCs w:val="28"/>
          <w:lang w:val="zh-TW" w:eastAsia="zh-TW"/>
        </w:rPr>
        <w:t>无论学生是否出国，该费用不予退还）</w:t>
      </w:r>
      <w:r>
        <w:rPr>
          <w:rFonts w:hint="eastAsia" w:ascii="仿宋" w:hAnsi="仿宋" w:eastAsia="仿宋" w:cs="仿宋"/>
          <w:color w:val="auto"/>
          <w:sz w:val="28"/>
          <w:szCs w:val="28"/>
          <w:lang w:val="zh-TW"/>
        </w:rPr>
        <w:t>。</w:t>
      </w:r>
      <w:r>
        <w:rPr>
          <w:rFonts w:ascii="仿宋" w:hAnsi="仿宋" w:eastAsia="仿宋" w:cs="仿宋"/>
          <w:color w:val="auto"/>
          <w:sz w:val="28"/>
          <w:szCs w:val="28"/>
          <w:lang w:val="zh-TW" w:eastAsia="zh-TW"/>
        </w:rPr>
        <w:t>第二次于学生在获得</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学校录取信后</w:t>
      </w:r>
      <w:r>
        <w:rPr>
          <w:rFonts w:ascii="Times New Roman" w:hAnsi="Times New Roman"/>
          <w:color w:val="auto"/>
          <w:sz w:val="28"/>
          <w:szCs w:val="28"/>
        </w:rPr>
        <w:t>10</w:t>
      </w:r>
      <w:r>
        <w:rPr>
          <w:rFonts w:ascii="仿宋" w:hAnsi="仿宋" w:eastAsia="仿宋" w:cs="仿宋"/>
          <w:color w:val="auto"/>
          <w:sz w:val="28"/>
          <w:szCs w:val="28"/>
          <w:lang w:val="zh-TW" w:eastAsia="zh-TW"/>
        </w:rPr>
        <w:t>个工作日收取</w:t>
      </w:r>
      <w:r>
        <w:rPr>
          <w:rFonts w:ascii="Times New Roman" w:hAnsi="Times New Roman"/>
          <w:color w:val="auto"/>
          <w:sz w:val="28"/>
          <w:szCs w:val="28"/>
        </w:rPr>
        <w:t>15,000</w:t>
      </w:r>
      <w:r>
        <w:rPr>
          <w:rFonts w:ascii="仿宋" w:hAnsi="仿宋" w:eastAsia="仿宋" w:cs="仿宋"/>
          <w:color w:val="auto"/>
          <w:sz w:val="28"/>
          <w:szCs w:val="28"/>
          <w:lang w:val="zh-TW" w:eastAsia="zh-TW"/>
        </w:rPr>
        <w:t>元人民币</w:t>
      </w:r>
      <w:r>
        <w:rPr>
          <w:rFonts w:ascii="Times New Roman" w:hAnsi="Times New Roman"/>
          <w:color w:val="auto"/>
          <w:sz w:val="28"/>
          <w:szCs w:val="28"/>
        </w:rPr>
        <w:t>/</w:t>
      </w:r>
      <w:r>
        <w:rPr>
          <w:rFonts w:ascii="仿宋" w:hAnsi="仿宋" w:eastAsia="仿宋" w:cs="仿宋"/>
          <w:color w:val="auto"/>
          <w:sz w:val="28"/>
          <w:szCs w:val="28"/>
          <w:lang w:val="zh-TW" w:eastAsia="zh-TW"/>
        </w:rPr>
        <w:t>生（费用包含</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高校申请费、签证指导费以及境外服务费</w:t>
      </w:r>
      <w:r>
        <w:rPr>
          <w:rFonts w:hint="eastAsia" w:ascii="仿宋" w:hAnsi="仿宋" w:eastAsia="仿宋" w:cs="仿宋"/>
          <w:color w:val="auto"/>
          <w:sz w:val="28"/>
          <w:szCs w:val="28"/>
          <w:lang w:val="zh-TW" w:eastAsia="zh-CN"/>
        </w:rPr>
        <w:t>；</w:t>
      </w:r>
      <w:r>
        <w:rPr>
          <w:rFonts w:ascii="仿宋" w:hAnsi="仿宋" w:eastAsia="仿宋" w:cs="仿宋"/>
          <w:color w:val="auto"/>
          <w:sz w:val="28"/>
          <w:szCs w:val="28"/>
          <w:lang w:val="zh-TW" w:eastAsia="zh-TW"/>
        </w:rPr>
        <w:t>若学生未能获得留学签证，该费用全额退还。</w:t>
      </w:r>
    </w:p>
    <w:p>
      <w:pPr>
        <w:pStyle w:val="10"/>
        <w:shd w:val="clear" w:color="auto" w:fill="FFFFFF"/>
        <w:spacing w:before="0" w:after="0" w:line="360" w:lineRule="auto"/>
        <w:ind w:firstLine="560"/>
        <w:rPr>
          <w:rFonts w:ascii="仿宋" w:hAnsi="仿宋" w:eastAsia="仿宋" w:cs="仿宋"/>
          <w:color w:val="auto"/>
          <w:sz w:val="28"/>
          <w:szCs w:val="28"/>
          <w:lang w:val="zh-TW" w:eastAsia="zh-TW"/>
        </w:rPr>
      </w:pP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lang w:val="en-US" w:eastAsia="zh-CN"/>
        </w:rPr>
        <w:t>四</w:t>
      </w:r>
      <w:r>
        <w:rPr>
          <w:rFonts w:hint="eastAsia" w:ascii="Times New Roman" w:hAnsi="Times New Roman" w:eastAsia="仿宋"/>
          <w:color w:val="auto"/>
          <w:sz w:val="28"/>
          <w:szCs w:val="28"/>
          <w:lang w:eastAsia="zh-CN"/>
        </w:rPr>
        <w:t>）</w:t>
      </w:r>
      <w:r>
        <w:rPr>
          <w:rFonts w:ascii="仿宋" w:hAnsi="仿宋" w:eastAsia="仿宋" w:cs="仿宋"/>
          <w:color w:val="auto"/>
          <w:sz w:val="28"/>
          <w:szCs w:val="28"/>
          <w:lang w:val="zh-TW" w:eastAsia="zh-TW"/>
        </w:rPr>
        <w:t>项目方将为学生办理出国留学手续，在办理过程中涉及的护照及签证办理、材料公证、资信证明、体检、保险费、领事馆签证费等发生的第三方费用由学生承担。项目方将负责安排学生在国外的接机、住宿、入学注册、学生活动、项目管理、学习、生活指导等境外后期服务。</w:t>
      </w:r>
    </w:p>
    <w:p>
      <w:pPr>
        <w:pStyle w:val="4"/>
        <w:spacing w:before="312" w:after="0" w:line="360" w:lineRule="auto"/>
        <w:ind w:firstLine="562" w:firstLineChars="200"/>
        <w:rPr>
          <w:color w:val="auto"/>
          <w:sz w:val="28"/>
          <w:szCs w:val="28"/>
          <w:lang w:val="zh-TW"/>
        </w:rPr>
      </w:pPr>
      <w:r>
        <w:rPr>
          <w:rFonts w:hint="eastAsia"/>
          <w:color w:val="auto"/>
          <w:sz w:val="28"/>
          <w:szCs w:val="28"/>
        </w:rPr>
        <w:t>八</w:t>
      </w:r>
      <w:r>
        <w:rPr>
          <w:color w:val="auto"/>
          <w:sz w:val="28"/>
          <w:szCs w:val="28"/>
          <w:lang w:val="zh-TW" w:eastAsia="zh-TW"/>
        </w:rPr>
        <w:t>、学业管理规定</w:t>
      </w:r>
    </w:p>
    <w:p>
      <w:pPr>
        <w:spacing w:line="360" w:lineRule="auto"/>
        <w:ind w:firstLine="560"/>
        <w:rPr>
          <w:rFonts w:ascii="仿宋" w:hAnsi="仿宋" w:eastAsia="仿宋" w:cs="仿宋"/>
          <w:color w:val="auto"/>
          <w:sz w:val="28"/>
          <w:szCs w:val="28"/>
          <w:lang w:val="zh-TW"/>
        </w:rPr>
      </w:pPr>
      <w:r>
        <w:rPr>
          <w:rFonts w:hint="eastAsia" w:ascii="仿宋" w:hAnsi="仿宋" w:eastAsia="仿宋" w:cs="仿宋"/>
          <w:color w:val="auto"/>
          <w:sz w:val="28"/>
          <w:szCs w:val="28"/>
        </w:rPr>
        <w:t>按照</w:t>
      </w:r>
      <w:r>
        <w:rPr>
          <w:rFonts w:hint="eastAsia" w:ascii="仿宋" w:hAnsi="仿宋" w:eastAsia="仿宋" w:cs="仿宋"/>
          <w:color w:val="auto"/>
          <w:sz w:val="28"/>
          <w:szCs w:val="28"/>
          <w:lang w:val="zh-TW"/>
        </w:rPr>
        <w:t>《广西医科大学</w:t>
      </w:r>
      <w:r>
        <w:rPr>
          <w:rFonts w:hint="eastAsia" w:ascii="仿宋" w:hAnsi="仿宋" w:eastAsia="仿宋" w:cs="仿宋"/>
          <w:color w:val="auto"/>
          <w:sz w:val="28"/>
          <w:szCs w:val="28"/>
        </w:rPr>
        <w:t>中澳</w:t>
      </w:r>
      <w:r>
        <w:rPr>
          <w:rFonts w:hint="eastAsia" w:ascii="仿宋" w:hAnsi="仿宋" w:eastAsia="仿宋" w:cs="仿宋"/>
          <w:color w:val="auto"/>
          <w:sz w:val="28"/>
          <w:szCs w:val="28"/>
          <w:lang w:val="zh-TW"/>
        </w:rPr>
        <w:t>学分互认联合培养项目学业管理办法（试行）》</w:t>
      </w:r>
      <w:r>
        <w:rPr>
          <w:rFonts w:hint="eastAsia" w:ascii="仿宋" w:hAnsi="仿宋" w:eastAsia="仿宋" w:cs="仿宋"/>
          <w:color w:val="auto"/>
          <w:sz w:val="28"/>
          <w:szCs w:val="28"/>
        </w:rPr>
        <w:t>执行，具体</w:t>
      </w:r>
      <w:r>
        <w:rPr>
          <w:rFonts w:hint="eastAsia" w:ascii="仿宋" w:hAnsi="仿宋" w:eastAsia="仿宋" w:cs="仿宋"/>
          <w:color w:val="auto"/>
          <w:sz w:val="28"/>
          <w:szCs w:val="28"/>
          <w:lang w:val="zh-TW"/>
        </w:rPr>
        <w:t>参见附件。</w:t>
      </w:r>
    </w:p>
    <w:p>
      <w:pPr>
        <w:spacing w:line="360" w:lineRule="auto"/>
        <w:ind w:firstLine="560"/>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rPr>
        <w:t>特别提示：</w:t>
      </w:r>
    </w:p>
    <w:p>
      <w:pPr>
        <w:pStyle w:val="2"/>
        <w:numPr>
          <w:ilvl w:val="-1"/>
          <w:numId w:val="0"/>
        </w:numPr>
        <w:spacing w:line="360" w:lineRule="auto"/>
        <w:ind w:firstLine="560" w:firstLineChars="200"/>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一</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被录取为我校中澳联培项目的本科生，在校期间原则上不得申报其他任何赴境外交流项目或联合培养项目，不得转入我校及/或澳方合作高校的其他专业学习。</w:t>
      </w:r>
    </w:p>
    <w:p>
      <w:pPr>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二</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被中澳联培项目录取的学生，在报到注册前必须签署</w:t>
      </w:r>
      <w:bookmarkStart w:id="0" w:name="_Hlk135765040"/>
      <w:r>
        <w:rPr>
          <w:rFonts w:hint="default" w:ascii="Times New Roman" w:hAnsi="Times New Roman" w:eastAsia="仿宋" w:cs="Times New Roman"/>
          <w:color w:val="auto"/>
          <w:sz w:val="28"/>
          <w:szCs w:val="28"/>
          <w:highlight w:val="none"/>
        </w:rPr>
        <w:t>《广西医科大学中澳学分互认联合培养项目学生承诺书》，</w:t>
      </w:r>
      <w:bookmarkEnd w:id="0"/>
      <w:r>
        <w:rPr>
          <w:rFonts w:hint="default" w:ascii="Times New Roman" w:hAnsi="Times New Roman" w:eastAsia="仿宋" w:cs="Times New Roman"/>
          <w:color w:val="auto"/>
          <w:sz w:val="28"/>
          <w:szCs w:val="28"/>
          <w:highlight w:val="none"/>
        </w:rPr>
        <w:t>明确承诺</w:t>
      </w:r>
      <w:bookmarkStart w:id="1" w:name="_GoBack"/>
      <w:bookmarkEnd w:id="1"/>
      <w:r>
        <w:rPr>
          <w:rFonts w:hint="default" w:ascii="Times New Roman" w:hAnsi="Times New Roman" w:eastAsia="仿宋" w:cs="Times New Roman"/>
          <w:color w:val="auto"/>
          <w:sz w:val="28"/>
          <w:szCs w:val="28"/>
          <w:highlight w:val="none"/>
        </w:rPr>
        <w:t>赴澳学习等事项。</w:t>
      </w:r>
    </w:p>
    <w:p>
      <w:pPr>
        <w:pStyle w:val="4"/>
        <w:spacing w:before="312" w:after="0" w:line="360" w:lineRule="auto"/>
        <w:ind w:firstLine="562" w:firstLineChars="200"/>
        <w:rPr>
          <w:color w:val="auto"/>
          <w:sz w:val="28"/>
          <w:szCs w:val="28"/>
          <w:lang w:val="zh-TW" w:eastAsia="zh-TW"/>
        </w:rPr>
      </w:pPr>
      <w:r>
        <w:rPr>
          <w:color w:val="auto"/>
          <w:sz w:val="28"/>
          <w:szCs w:val="28"/>
          <w:lang w:val="zh-TW" w:eastAsia="zh-TW"/>
        </w:rPr>
        <w:t>九、其他要求</w:t>
      </w:r>
    </w:p>
    <w:p>
      <w:pPr>
        <w:spacing w:line="360" w:lineRule="auto"/>
        <w:ind w:firstLine="560"/>
        <w:rPr>
          <w:rFonts w:ascii="仿宋" w:hAnsi="仿宋" w:eastAsia="仿宋" w:cs="仿宋"/>
          <w:color w:val="auto"/>
          <w:sz w:val="28"/>
          <w:szCs w:val="28"/>
          <w:lang w:val="zh-TW" w:eastAsia="zh-TW"/>
        </w:rPr>
      </w:pPr>
      <w:r>
        <w:rPr>
          <w:rFonts w:hint="eastAsia" w:ascii="仿宋" w:hAnsi="仿宋" w:eastAsia="仿宋" w:cs="仿宋"/>
          <w:color w:val="auto"/>
          <w:sz w:val="28"/>
          <w:szCs w:val="28"/>
        </w:rPr>
        <w:t>（一）</w:t>
      </w:r>
      <w:r>
        <w:rPr>
          <w:rFonts w:ascii="仿宋" w:hAnsi="仿宋" w:eastAsia="仿宋" w:cs="仿宋"/>
          <w:color w:val="auto"/>
          <w:sz w:val="28"/>
          <w:szCs w:val="28"/>
          <w:lang w:val="zh-TW" w:eastAsia="zh-TW"/>
        </w:rPr>
        <w:t>学</w:t>
      </w:r>
      <w:r>
        <w:rPr>
          <w:rFonts w:ascii="仿宋" w:hAnsi="仿宋" w:eastAsia="仿宋" w:cs="仿宋"/>
          <w:color w:val="auto"/>
          <w:sz w:val="28"/>
          <w:szCs w:val="28"/>
          <w:lang w:val="zh-CN" w:eastAsia="zh-TW"/>
        </w:rPr>
        <w:t>生</w:t>
      </w:r>
      <w:r>
        <w:rPr>
          <w:rFonts w:ascii="仿宋" w:hAnsi="仿宋" w:eastAsia="仿宋" w:cs="仿宋"/>
          <w:color w:val="auto"/>
          <w:sz w:val="28"/>
          <w:szCs w:val="28"/>
          <w:lang w:val="zh-TW" w:eastAsia="zh-TW"/>
        </w:rPr>
        <w:t>在学习期间，应强化人文交流意识，提升交流能力。加强中华优秀传统文化内容的学习，加强国情教育，开展制度自信和文化自信教育。学生在国外学习期间应自觉遵守所在国和地方法律法规以及</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高校的规章制度，树立中国学子良好的国际形象。</w:t>
      </w:r>
    </w:p>
    <w:p>
      <w:pPr>
        <w:spacing w:line="360" w:lineRule="auto"/>
        <w:ind w:firstLine="560"/>
        <w:rPr>
          <w:rFonts w:ascii="仿宋" w:hAnsi="仿宋" w:eastAsia="仿宋" w:cs="仿宋"/>
          <w:color w:val="auto"/>
          <w:sz w:val="28"/>
          <w:szCs w:val="28"/>
          <w:lang w:val="zh-TW" w:eastAsia="zh-TW"/>
        </w:rPr>
      </w:pPr>
      <w:r>
        <w:rPr>
          <w:rFonts w:hint="eastAsia" w:ascii="仿宋" w:hAnsi="仿宋" w:eastAsia="仿宋" w:cs="仿宋"/>
          <w:color w:val="auto"/>
          <w:sz w:val="28"/>
          <w:szCs w:val="28"/>
        </w:rPr>
        <w:t>（二）</w:t>
      </w:r>
      <w:r>
        <w:rPr>
          <w:rFonts w:ascii="仿宋" w:hAnsi="仿宋" w:eastAsia="仿宋" w:cs="仿宋"/>
          <w:color w:val="auto"/>
          <w:sz w:val="28"/>
          <w:szCs w:val="28"/>
          <w:lang w:val="zh-TW" w:eastAsia="zh-TW"/>
        </w:rPr>
        <w:t>国外学习期间，学生应按照所在国及</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高校的要求参加医疗保险、人身安全保险，须购买航空以及其他必要的保险。在赴</w:t>
      </w:r>
      <w:r>
        <w:rPr>
          <w:rFonts w:hint="eastAsia" w:ascii="仿宋" w:hAnsi="仿宋" w:eastAsia="仿宋" w:cs="仿宋"/>
          <w:color w:val="auto"/>
          <w:sz w:val="28"/>
          <w:szCs w:val="28"/>
          <w:lang w:val="zh-TW"/>
        </w:rPr>
        <w:t>澳方</w:t>
      </w:r>
      <w:r>
        <w:rPr>
          <w:rFonts w:ascii="仿宋" w:hAnsi="仿宋" w:eastAsia="仿宋" w:cs="仿宋"/>
          <w:color w:val="auto"/>
          <w:sz w:val="28"/>
          <w:szCs w:val="28"/>
          <w:lang w:val="zh-TW" w:eastAsia="zh-TW"/>
        </w:rPr>
        <w:t>高校途中以及在国外学习期间发生的医疗费用，由学生承担。</w:t>
      </w:r>
    </w:p>
    <w:p>
      <w:pPr>
        <w:spacing w:line="360" w:lineRule="auto"/>
        <w:ind w:firstLine="560"/>
        <w:rPr>
          <w:rFonts w:ascii="仿宋" w:hAnsi="仿宋" w:eastAsia="仿宋" w:cs="仿宋"/>
          <w:color w:val="auto"/>
          <w:sz w:val="28"/>
          <w:szCs w:val="28"/>
          <w:lang w:val="zh-TW" w:eastAsia="zh-TW"/>
        </w:rPr>
      </w:pPr>
      <w:r>
        <w:rPr>
          <w:rFonts w:hint="eastAsia" w:ascii="仿宋" w:hAnsi="仿宋" w:eastAsia="仿宋" w:cs="仿宋"/>
          <w:color w:val="auto"/>
          <w:sz w:val="28"/>
          <w:szCs w:val="28"/>
        </w:rPr>
        <w:t>（三）</w:t>
      </w:r>
      <w:r>
        <w:rPr>
          <w:rFonts w:ascii="仿宋" w:hAnsi="仿宋" w:eastAsia="仿宋" w:cs="仿宋"/>
          <w:color w:val="auto"/>
          <w:sz w:val="28"/>
          <w:szCs w:val="28"/>
          <w:lang w:val="zh-TW" w:eastAsia="zh-TW"/>
        </w:rPr>
        <w:t>国外学习期间，若学生发生意外以及突发事件，按照所在国家法律法规以及</w:t>
      </w:r>
      <w:r>
        <w:rPr>
          <w:rFonts w:hint="eastAsia" w:ascii="仿宋" w:hAnsi="仿宋" w:eastAsia="仿宋" w:cs="仿宋"/>
          <w:color w:val="auto"/>
          <w:sz w:val="28"/>
          <w:szCs w:val="28"/>
        </w:rPr>
        <w:t>澳</w:t>
      </w:r>
      <w:r>
        <w:rPr>
          <w:rFonts w:hint="eastAsia" w:ascii="仿宋" w:hAnsi="仿宋" w:eastAsia="仿宋" w:cs="仿宋"/>
          <w:color w:val="auto"/>
          <w:sz w:val="28"/>
          <w:szCs w:val="28"/>
          <w:lang w:val="zh-TW"/>
        </w:rPr>
        <w:t>方</w:t>
      </w:r>
      <w:r>
        <w:rPr>
          <w:rFonts w:ascii="仿宋" w:hAnsi="仿宋" w:eastAsia="仿宋" w:cs="仿宋"/>
          <w:color w:val="auto"/>
          <w:sz w:val="28"/>
          <w:szCs w:val="28"/>
          <w:lang w:val="zh-TW" w:eastAsia="zh-TW"/>
        </w:rPr>
        <w:t>高校有关规定处理，项目方和学校将予以必要的协助。</w:t>
      </w:r>
    </w:p>
    <w:p>
      <w:pPr>
        <w:pStyle w:val="4"/>
        <w:spacing w:before="312" w:after="0" w:line="360" w:lineRule="auto"/>
        <w:ind w:firstLine="562" w:firstLineChars="200"/>
        <w:rPr>
          <w:rFonts w:ascii="Times New Roman" w:hAnsi="Times New Roman" w:eastAsia="Times New Roman" w:cs="Times New Roman"/>
          <w:color w:val="auto"/>
          <w:sz w:val="28"/>
          <w:szCs w:val="28"/>
          <w:lang w:val="zh-TW" w:eastAsia="zh-TW"/>
        </w:rPr>
      </w:pPr>
      <w:r>
        <w:rPr>
          <w:rFonts w:hint="eastAsia"/>
          <w:color w:val="auto"/>
          <w:sz w:val="28"/>
          <w:szCs w:val="28"/>
          <w:lang w:eastAsia="zh-TW"/>
        </w:rPr>
        <w:t>十</w:t>
      </w:r>
      <w:r>
        <w:rPr>
          <w:color w:val="auto"/>
          <w:sz w:val="28"/>
          <w:szCs w:val="28"/>
          <w:lang w:val="zh-TW" w:eastAsia="zh-TW"/>
        </w:rPr>
        <w:t>、咨询方式</w:t>
      </w:r>
    </w:p>
    <w:p>
      <w:pPr>
        <w:spacing w:line="360" w:lineRule="auto"/>
        <w:ind w:firstLine="560"/>
        <w:rPr>
          <w:rFonts w:ascii="Times New Roman" w:hAnsi="Times New Roman" w:eastAsia="仿宋" w:cs="Times New Roman"/>
          <w:color w:val="auto"/>
          <w:sz w:val="28"/>
          <w:szCs w:val="28"/>
          <w:lang w:val="zh-TW" w:eastAsia="zh-TW"/>
        </w:rPr>
      </w:pPr>
      <w:r>
        <w:rPr>
          <w:rFonts w:ascii="Times New Roman" w:hAnsi="Times New Roman" w:eastAsia="仿宋" w:cs="Times New Roman"/>
          <w:color w:val="auto"/>
          <w:sz w:val="28"/>
          <w:szCs w:val="28"/>
          <w:lang w:val="zh-TW" w:eastAsia="zh-TW"/>
        </w:rPr>
        <w:t>广西</w:t>
      </w:r>
      <w:r>
        <w:rPr>
          <w:rFonts w:ascii="Times New Roman" w:hAnsi="Times New Roman" w:eastAsia="仿宋" w:cs="Times New Roman"/>
          <w:color w:val="auto"/>
          <w:sz w:val="28"/>
          <w:szCs w:val="28"/>
          <w:lang w:eastAsia="zh-TW"/>
        </w:rPr>
        <w:t>医科</w:t>
      </w:r>
      <w:r>
        <w:rPr>
          <w:rFonts w:ascii="Times New Roman" w:hAnsi="Times New Roman" w:eastAsia="仿宋" w:cs="Times New Roman"/>
          <w:color w:val="auto"/>
          <w:sz w:val="28"/>
          <w:szCs w:val="28"/>
          <w:lang w:val="zh-TW" w:eastAsia="zh-TW"/>
        </w:rPr>
        <w:t>大学官网：https://www.gxmu.edu.cn</w:t>
      </w:r>
    </w:p>
    <w:p>
      <w:pPr>
        <w:spacing w:line="360" w:lineRule="auto"/>
        <w:ind w:firstLine="560"/>
        <w:rPr>
          <w:rFonts w:ascii="Times New Roman" w:hAnsi="Times New Roman" w:eastAsia="仿宋" w:cs="Times New Roman"/>
          <w:color w:val="auto"/>
          <w:sz w:val="28"/>
          <w:szCs w:val="28"/>
          <w:lang w:val="zh-TW" w:eastAsia="zh-TW"/>
        </w:rPr>
      </w:pPr>
      <w:r>
        <w:rPr>
          <w:rFonts w:ascii="Times New Roman" w:hAnsi="Times New Roman" w:eastAsia="仿宋" w:cs="Times New Roman"/>
          <w:color w:val="auto"/>
          <w:sz w:val="28"/>
          <w:szCs w:val="28"/>
          <w:lang w:val="zh-TW" w:eastAsia="zh-TW"/>
        </w:rPr>
        <w:t>广西</w:t>
      </w:r>
      <w:r>
        <w:rPr>
          <w:rFonts w:ascii="Times New Roman" w:hAnsi="Times New Roman" w:eastAsia="仿宋" w:cs="Times New Roman"/>
          <w:color w:val="auto"/>
          <w:sz w:val="28"/>
          <w:szCs w:val="28"/>
          <w:lang w:eastAsia="zh-TW"/>
        </w:rPr>
        <w:t>医科</w:t>
      </w:r>
      <w:r>
        <w:rPr>
          <w:rFonts w:ascii="Times New Roman" w:hAnsi="Times New Roman" w:eastAsia="仿宋" w:cs="Times New Roman"/>
          <w:color w:val="auto"/>
          <w:sz w:val="28"/>
          <w:szCs w:val="28"/>
          <w:lang w:val="zh-TW" w:eastAsia="zh-TW"/>
        </w:rPr>
        <w:t>大学</w:t>
      </w:r>
      <w:r>
        <w:rPr>
          <w:rFonts w:hint="eastAsia" w:ascii="Times New Roman" w:hAnsi="Times New Roman" w:eastAsia="仿宋" w:cs="Times New Roman"/>
          <w:color w:val="auto"/>
          <w:sz w:val="28"/>
          <w:szCs w:val="28"/>
          <w:lang w:eastAsia="zh-TW"/>
        </w:rPr>
        <w:t>本专科</w:t>
      </w:r>
      <w:r>
        <w:rPr>
          <w:rFonts w:ascii="Times New Roman" w:hAnsi="Times New Roman" w:eastAsia="仿宋" w:cs="Times New Roman"/>
          <w:color w:val="auto"/>
          <w:sz w:val="28"/>
          <w:szCs w:val="28"/>
          <w:lang w:val="zh-TW" w:eastAsia="zh-TW"/>
        </w:rPr>
        <w:t>招生网：https://www.gxmu.edu.cn/zsjy</w:t>
      </w:r>
    </w:p>
    <w:p>
      <w:pPr>
        <w:spacing w:line="360" w:lineRule="auto"/>
        <w:ind w:firstLine="56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lang w:val="zh-TW"/>
        </w:rPr>
        <w:t>招生咨询（招生就业处）：0771-</w:t>
      </w:r>
      <w:r>
        <w:rPr>
          <w:rFonts w:ascii="Times New Roman" w:hAnsi="Times New Roman" w:eastAsia="仿宋" w:cs="Times New Roman"/>
          <w:color w:val="auto"/>
          <w:sz w:val="28"/>
          <w:szCs w:val="28"/>
        </w:rPr>
        <w:t>535903</w:t>
      </w:r>
      <w:r>
        <w:rPr>
          <w:rFonts w:hint="eastAsia" w:ascii="Times New Roman" w:hAnsi="Times New Roman" w:eastAsia="仿宋" w:cs="Times New Roman"/>
          <w:color w:val="auto"/>
          <w:sz w:val="28"/>
          <w:szCs w:val="28"/>
        </w:rPr>
        <w:t>1</w:t>
      </w:r>
    </w:p>
    <w:p>
      <w:pPr>
        <w:spacing w:line="360" w:lineRule="auto"/>
        <w:ind w:firstLine="56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lang w:val="zh-TW"/>
        </w:rPr>
        <w:t>项目咨询（国际合作与交流处）：0771-</w:t>
      </w:r>
      <w:r>
        <w:rPr>
          <w:rFonts w:ascii="Times New Roman" w:hAnsi="Times New Roman" w:eastAsia="仿宋" w:cs="Times New Roman"/>
          <w:color w:val="auto"/>
          <w:sz w:val="28"/>
          <w:szCs w:val="28"/>
        </w:rPr>
        <w:t>5342032</w:t>
      </w:r>
    </w:p>
    <w:p>
      <w:pPr>
        <w:spacing w:line="360" w:lineRule="auto"/>
        <w:ind w:firstLine="56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lang w:val="zh-TW"/>
        </w:rPr>
        <w:t>学院咨询：</w:t>
      </w:r>
      <w:r>
        <w:rPr>
          <w:rFonts w:ascii="Times New Roman" w:hAnsi="Times New Roman" w:eastAsia="仿宋" w:cs="Times New Roman"/>
          <w:color w:val="auto"/>
          <w:sz w:val="28"/>
          <w:szCs w:val="28"/>
        </w:rPr>
        <w:t>药</w:t>
      </w:r>
      <w:r>
        <w:rPr>
          <w:rFonts w:ascii="Times New Roman" w:hAnsi="Times New Roman" w:eastAsia="仿宋" w:cs="Times New Roman"/>
          <w:color w:val="auto"/>
          <w:sz w:val="28"/>
          <w:szCs w:val="28"/>
          <w:lang w:val="zh-TW"/>
        </w:rPr>
        <w:t>学院（</w:t>
      </w:r>
      <w:r>
        <w:rPr>
          <w:rFonts w:ascii="Times New Roman" w:hAnsi="Times New Roman" w:eastAsia="仿宋" w:cs="Times New Roman"/>
          <w:color w:val="auto"/>
          <w:sz w:val="28"/>
          <w:szCs w:val="28"/>
        </w:rPr>
        <w:t>药学</w:t>
      </w:r>
      <w:r>
        <w:rPr>
          <w:rFonts w:ascii="Times New Roman" w:hAnsi="Times New Roman" w:eastAsia="仿宋" w:cs="Times New Roman"/>
          <w:color w:val="auto"/>
          <w:sz w:val="28"/>
          <w:szCs w:val="28"/>
          <w:lang w:val="zh-TW"/>
        </w:rPr>
        <w:t>专业）0771-</w:t>
      </w:r>
      <w:r>
        <w:rPr>
          <w:rFonts w:ascii="Times New Roman" w:hAnsi="Times New Roman" w:eastAsia="仿宋" w:cs="Times New Roman"/>
          <w:color w:val="auto"/>
          <w:sz w:val="28"/>
          <w:szCs w:val="28"/>
        </w:rPr>
        <w:t>5358014</w:t>
      </w:r>
    </w:p>
    <w:p>
      <w:pPr>
        <w:pStyle w:val="2"/>
        <w:ind w:firstLine="560"/>
        <w:rPr>
          <w:rFonts w:ascii="仿宋" w:hAnsi="仿宋" w:eastAsia="仿宋" w:cs="仿宋"/>
          <w:color w:val="auto"/>
          <w:sz w:val="28"/>
          <w:szCs w:val="28"/>
          <w:lang w:val="zh-TW"/>
        </w:rPr>
      </w:pPr>
    </w:p>
    <w:p>
      <w:pPr>
        <w:spacing w:line="62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附件【《广西医科大学中澳学分互认联合培养项目学业管理办法（试行）》.pdf】</w:t>
      </w:r>
    </w:p>
    <w:p>
      <w:pPr>
        <w:pStyle w:val="2"/>
        <w:ind w:firstLine="560"/>
        <w:rPr>
          <w:rFonts w:ascii="仿宋" w:hAnsi="仿宋" w:eastAsia="仿宋" w:cs="仿宋"/>
          <w:color w:val="auto"/>
          <w:sz w:val="28"/>
          <w:szCs w:val="28"/>
          <w:lang w:val="zh-TW"/>
        </w:rPr>
      </w:pPr>
    </w:p>
    <w:p>
      <w:pPr>
        <w:pStyle w:val="2"/>
        <w:ind w:firstLine="560"/>
        <w:rPr>
          <w:rFonts w:ascii="仿宋" w:hAnsi="仿宋" w:eastAsia="仿宋" w:cs="仿宋"/>
          <w:color w:val="auto"/>
          <w:sz w:val="28"/>
          <w:szCs w:val="28"/>
          <w:lang w:val="zh-TW"/>
        </w:rPr>
      </w:pPr>
    </w:p>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Regular">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8306"/>
      </w:tabs>
      <w:jc w:val="center"/>
    </w:pPr>
    <w:r>
      <w:fldChar w:fldCharType="begin"/>
    </w:r>
    <w:r>
      <w:instrText xml:space="preserve"> PAGE </w:instrText>
    </w:r>
    <w:r>
      <w:fldChar w:fldCharType="separate"/>
    </w:r>
    <w: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trackRevisions w:val="1"/>
  <w:documentProtection w:enforcement="0"/>
  <w:defaultTabStop w:val="420"/>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2UxNWNiZjMyODM1YzIwZWIwZGFmYjIzYWJjMzQifQ=="/>
  </w:docVars>
  <w:rsids>
    <w:rsidRoot w:val="00DE499A"/>
    <w:rsid w:val="00047083"/>
    <w:rsid w:val="000554DF"/>
    <w:rsid w:val="00086553"/>
    <w:rsid w:val="00191F91"/>
    <w:rsid w:val="00370383"/>
    <w:rsid w:val="003E3B0C"/>
    <w:rsid w:val="00492806"/>
    <w:rsid w:val="005166D5"/>
    <w:rsid w:val="0062067C"/>
    <w:rsid w:val="0085442F"/>
    <w:rsid w:val="0094413C"/>
    <w:rsid w:val="00970D0E"/>
    <w:rsid w:val="00B4213B"/>
    <w:rsid w:val="00BC378B"/>
    <w:rsid w:val="00D63557"/>
    <w:rsid w:val="00DE499A"/>
    <w:rsid w:val="00EE1236"/>
    <w:rsid w:val="07242737"/>
    <w:rsid w:val="079B25E0"/>
    <w:rsid w:val="0D645222"/>
    <w:rsid w:val="0DE86A99"/>
    <w:rsid w:val="10DD0444"/>
    <w:rsid w:val="13DB5BE7"/>
    <w:rsid w:val="15B71CD4"/>
    <w:rsid w:val="16451C78"/>
    <w:rsid w:val="1A196292"/>
    <w:rsid w:val="1B2D759B"/>
    <w:rsid w:val="1BFD51C0"/>
    <w:rsid w:val="1C661619"/>
    <w:rsid w:val="1E3D3724"/>
    <w:rsid w:val="1E6C1E7B"/>
    <w:rsid w:val="200A3660"/>
    <w:rsid w:val="20A976C4"/>
    <w:rsid w:val="220F6353"/>
    <w:rsid w:val="238E0DF3"/>
    <w:rsid w:val="239A32F4"/>
    <w:rsid w:val="24163CB2"/>
    <w:rsid w:val="25C11DBC"/>
    <w:rsid w:val="29657F52"/>
    <w:rsid w:val="2F365FBB"/>
    <w:rsid w:val="2FA14F4E"/>
    <w:rsid w:val="327B2543"/>
    <w:rsid w:val="344E43B3"/>
    <w:rsid w:val="388B29A2"/>
    <w:rsid w:val="3B136517"/>
    <w:rsid w:val="3CEC5608"/>
    <w:rsid w:val="3D121CF5"/>
    <w:rsid w:val="4464023C"/>
    <w:rsid w:val="448B2AB9"/>
    <w:rsid w:val="45B45D91"/>
    <w:rsid w:val="467B6B5D"/>
    <w:rsid w:val="46FD19D5"/>
    <w:rsid w:val="4B1F3F5B"/>
    <w:rsid w:val="4E7B357A"/>
    <w:rsid w:val="4EAE2783"/>
    <w:rsid w:val="4F894D9D"/>
    <w:rsid w:val="517338F9"/>
    <w:rsid w:val="52AC586A"/>
    <w:rsid w:val="5441033C"/>
    <w:rsid w:val="564C7BCE"/>
    <w:rsid w:val="5B715675"/>
    <w:rsid w:val="5D2C307D"/>
    <w:rsid w:val="5E79496C"/>
    <w:rsid w:val="60583D40"/>
    <w:rsid w:val="61861FE4"/>
    <w:rsid w:val="61D663B5"/>
    <w:rsid w:val="647B7FFD"/>
    <w:rsid w:val="65654809"/>
    <w:rsid w:val="66E000AE"/>
    <w:rsid w:val="69345352"/>
    <w:rsid w:val="6AE0505D"/>
    <w:rsid w:val="6CE00C4F"/>
    <w:rsid w:val="6F37672F"/>
    <w:rsid w:val="76905631"/>
    <w:rsid w:val="76FA0BC0"/>
    <w:rsid w:val="77205009"/>
    <w:rsid w:val="791F52E2"/>
    <w:rsid w:val="79B47A4A"/>
    <w:rsid w:val="7B48408E"/>
    <w:rsid w:val="7D937398"/>
    <w:rsid w:val="7F3B46E3"/>
    <w:rsid w:val="7FE83888"/>
    <w:rsid w:val="F6FA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color w:val="000000"/>
      <w:kern w:val="2"/>
      <w:sz w:val="21"/>
      <w:szCs w:val="21"/>
      <w:u w:color="000000"/>
      <w:lang w:val="en-US" w:eastAsia="zh-CN" w:bidi="ar-SA"/>
    </w:rPr>
  </w:style>
  <w:style w:type="paragraph" w:styleId="4">
    <w:name w:val="heading 1"/>
    <w:next w:val="1"/>
    <w:qFormat/>
    <w:uiPriority w:val="0"/>
    <w:pPr>
      <w:widowControl w:val="0"/>
      <w:spacing w:before="120" w:after="60" w:line="312" w:lineRule="auto"/>
      <w:outlineLvl w:val="0"/>
    </w:pPr>
    <w:rPr>
      <w:rFonts w:ascii="黑体" w:hAnsi="黑体" w:eastAsia="黑体" w:cs="黑体"/>
      <w:b/>
      <w:bCs/>
      <w:color w:val="000000"/>
      <w:kern w:val="28"/>
      <w:sz w:val="32"/>
      <w:szCs w:val="32"/>
      <w:u w:color="000000"/>
      <w:lang w:val="en-US" w:eastAsia="zh-CN" w:bidi="ar-SA"/>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unhideWhenUsed/>
    <w:qFormat/>
    <w:uiPriority w:val="99"/>
    <w:pPr>
      <w:spacing w:line="400" w:lineRule="atLeast"/>
      <w:ind w:firstLine="480"/>
    </w:pPr>
    <w:rPr>
      <w:rFonts w:ascii="Times New Roman" w:hAnsi="Times New Roman" w:eastAsia="宋体" w:cs="Times New Roman"/>
      <w:szCs w:val="20"/>
    </w:rPr>
  </w:style>
  <w:style w:type="paragraph" w:styleId="6">
    <w:name w:val="annotation text"/>
    <w:basedOn w:val="1"/>
    <w:semiHidden/>
    <w:unhideWhenUsed/>
    <w:qFormat/>
    <w:uiPriority w:val="0"/>
    <w:pPr>
      <w:jc w:val="left"/>
    </w:pPr>
  </w:style>
  <w:style w:type="paragraph" w:styleId="7">
    <w:name w:val="Balloon Text"/>
    <w:basedOn w:val="1"/>
    <w:link w:val="21"/>
    <w:qFormat/>
    <w:uiPriority w:val="0"/>
    <w:rPr>
      <w:sz w:val="18"/>
      <w:szCs w:val="18"/>
    </w:rPr>
  </w:style>
  <w:style w:type="paragraph" w:styleId="8">
    <w:name w:val="footer"/>
    <w:qFormat/>
    <w:uiPriority w:val="0"/>
    <w:pPr>
      <w:widowControl w:val="0"/>
      <w:tabs>
        <w:tab w:val="center" w:pos="4153"/>
        <w:tab w:val="right" w:pos="8306"/>
      </w:tabs>
    </w:pPr>
    <w:rPr>
      <w:rFonts w:ascii="等线" w:hAnsi="等线" w:eastAsia="等线" w:cs="等线"/>
      <w:color w:val="000000"/>
      <w:kern w:val="2"/>
      <w:sz w:val="18"/>
      <w:szCs w:val="18"/>
      <w:u w:color="000000"/>
      <w:lang w:val="en-US" w:eastAsia="zh-CN" w:bidi="ar-SA"/>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75" w:after="75"/>
    </w:pPr>
    <w:rPr>
      <w:rFonts w:ascii="宋体" w:hAnsi="宋体" w:eastAsia="宋体" w:cs="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u w:val="single"/>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character" w:customStyle="1" w:styleId="19">
    <w:name w:val="链接"/>
    <w:qFormat/>
    <w:uiPriority w:val="0"/>
    <w:rPr>
      <w:color w:val="0563C1"/>
      <w:u w:val="single" w:color="0563C1"/>
    </w:rPr>
  </w:style>
  <w:style w:type="character" w:customStyle="1" w:styleId="20">
    <w:name w:val="Hyperlink.0"/>
    <w:basedOn w:val="19"/>
    <w:qFormat/>
    <w:uiPriority w:val="0"/>
    <w:rPr>
      <w:rFonts w:ascii="Times New Roman" w:hAnsi="Times New Roman" w:eastAsia="Times New Roman" w:cs="Times New Roman"/>
      <w:color w:val="0563C1"/>
      <w:sz w:val="28"/>
      <w:szCs w:val="28"/>
      <w:u w:val="single" w:color="0563C1"/>
      <w:lang w:val="en-US"/>
    </w:rPr>
  </w:style>
  <w:style w:type="character" w:customStyle="1" w:styleId="21">
    <w:name w:val="批注框文本 字符"/>
    <w:basedOn w:val="13"/>
    <w:link w:val="7"/>
    <w:qFormat/>
    <w:uiPriority w:val="0"/>
    <w:rPr>
      <w:rFonts w:ascii="等线" w:hAnsi="等线" w:eastAsia="等线" w:cs="等线"/>
      <w:color w:val="000000"/>
      <w:kern w:val="2"/>
      <w:sz w:val="18"/>
      <w:szCs w:val="18"/>
      <w:u w:color="000000"/>
    </w:rPr>
  </w:style>
  <w:style w:type="character" w:customStyle="1" w:styleId="22">
    <w:name w:val="页眉 字符"/>
    <w:basedOn w:val="13"/>
    <w:link w:val="9"/>
    <w:qFormat/>
    <w:uiPriority w:val="0"/>
    <w:rPr>
      <w:rFonts w:ascii="等线" w:hAnsi="等线" w:eastAsia="等线" w:cs="等线"/>
      <w:color w:val="000000"/>
      <w:kern w:val="2"/>
      <w:sz w:val="18"/>
      <w:szCs w:val="18"/>
      <w:u w:color="000000"/>
    </w:rPr>
  </w:style>
  <w:style w:type="paragraph" w:styleId="23">
    <w:name w:val="List Paragraph"/>
    <w:basedOn w:val="1"/>
    <w:qFormat/>
    <w:uiPriority w:val="99"/>
    <w:pPr>
      <w:ind w:firstLine="420" w:firstLineChars="200"/>
    </w:pPr>
  </w:style>
  <w:style w:type="paragraph" w:customStyle="1" w:styleId="24">
    <w:name w:val="Revision"/>
    <w:hidden/>
    <w:semiHidden/>
    <w:qFormat/>
    <w:uiPriority w:val="99"/>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Win</Company>
  <Pages>6</Pages>
  <Words>2689</Words>
  <Characters>2974</Characters>
  <Lines>34</Lines>
  <Paragraphs>9</Paragraphs>
  <TotalTime>242</TotalTime>
  <ScaleCrop>false</ScaleCrop>
  <LinksUpToDate>false</LinksUpToDate>
  <CharactersWithSpaces>2999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2022-03-23T15:48:00Z</dcterms:created>
  <dc:creator>houshuang</dc:creator>
  <cp:lastModifiedBy>ping he</cp:lastModifiedBy>
  <cp:lastPrinted>2021-06-23T11:28:00Z</cp:lastPrinted>
  <dcterms:modified xsi:type="dcterms:W3CDTF">2023-06-12T03:03:10Z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3461C56D8D95442A8C9811DE2E4D158C_13</vt:lpwstr>
  </property>
</Properties>
</file>